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5EDE" w:rsidRPr="00BB024D" w:rsidRDefault="008A0A7C" w:rsidP="00BB024D">
      <w:pPr>
        <w:spacing w:line="480" w:lineRule="auto"/>
        <w:jc w:val="center"/>
        <w:rPr>
          <w:rFonts w:ascii="Times New Roman" w:hAnsi="Times New Roman" w:cs="Times New Roman"/>
          <w:sz w:val="32"/>
          <w:szCs w:val="32"/>
        </w:rPr>
      </w:pPr>
      <w:r w:rsidRPr="00BB024D">
        <w:rPr>
          <w:rFonts w:ascii="Times New Roman" w:hAnsi="Times New Roman" w:cs="Times New Roman"/>
          <w:b/>
          <w:sz w:val="32"/>
          <w:szCs w:val="32"/>
        </w:rPr>
        <w:t xml:space="preserve">XVI </w:t>
      </w:r>
      <w:r w:rsidR="008D4A42" w:rsidRPr="00BB024D">
        <w:rPr>
          <w:rFonts w:ascii="Times New Roman" w:hAnsi="Times New Roman" w:cs="Times New Roman"/>
          <w:b/>
          <w:sz w:val="32"/>
          <w:szCs w:val="32"/>
        </w:rPr>
        <w:t>C</w:t>
      </w:r>
      <w:r w:rsidRPr="00BB024D">
        <w:rPr>
          <w:rFonts w:ascii="Times New Roman" w:hAnsi="Times New Roman" w:cs="Times New Roman"/>
          <w:b/>
          <w:sz w:val="32"/>
          <w:szCs w:val="32"/>
        </w:rPr>
        <w:t>ONGRESSO INTERNACIONAL DE CONTABILIDADE E AUDITORIA</w:t>
      </w:r>
    </w:p>
    <w:p w:rsidR="00471855" w:rsidRPr="00BB024D" w:rsidRDefault="00471855" w:rsidP="00BB024D">
      <w:pPr>
        <w:spacing w:line="480" w:lineRule="auto"/>
        <w:jc w:val="both"/>
        <w:rPr>
          <w:rFonts w:ascii="Times New Roman" w:hAnsi="Times New Roman" w:cs="Times New Roman"/>
          <w:sz w:val="24"/>
          <w:szCs w:val="24"/>
        </w:rPr>
      </w:pPr>
    </w:p>
    <w:p w:rsidR="004D284C" w:rsidRPr="00BB024D" w:rsidRDefault="004D284C" w:rsidP="00BB024D">
      <w:pPr>
        <w:spacing w:line="480" w:lineRule="auto"/>
        <w:jc w:val="both"/>
        <w:rPr>
          <w:rFonts w:ascii="Times New Roman" w:hAnsi="Times New Roman" w:cs="Times New Roman"/>
          <w:sz w:val="24"/>
          <w:szCs w:val="24"/>
        </w:rPr>
      </w:pPr>
    </w:p>
    <w:p w:rsidR="008A0A7C" w:rsidRPr="00BB024D" w:rsidRDefault="008A0A7C" w:rsidP="00BB024D">
      <w:pPr>
        <w:spacing w:after="120" w:line="480" w:lineRule="auto"/>
        <w:jc w:val="center"/>
        <w:rPr>
          <w:rFonts w:ascii="Times New Roman" w:hAnsi="Times New Roman" w:cs="Times New Roman"/>
          <w:b/>
          <w:sz w:val="32"/>
          <w:szCs w:val="32"/>
        </w:rPr>
      </w:pPr>
      <w:bookmarkStart w:id="0" w:name="_Toc465894223"/>
      <w:bookmarkStart w:id="1" w:name="_Toc466577161"/>
      <w:r w:rsidRPr="00BB024D">
        <w:rPr>
          <w:rFonts w:ascii="Times New Roman" w:hAnsi="Times New Roman" w:cs="Times New Roman"/>
          <w:b/>
          <w:sz w:val="32"/>
          <w:szCs w:val="32"/>
        </w:rPr>
        <w:t>Os instrumentos de divulgação da informação financeira relativa às atividades sociais das paróquias: um estudo empírico</w:t>
      </w:r>
    </w:p>
    <w:p w:rsidR="008A0A7C" w:rsidRDefault="008A0A7C" w:rsidP="00BB024D">
      <w:pPr>
        <w:spacing w:line="480" w:lineRule="auto"/>
        <w:jc w:val="both"/>
        <w:rPr>
          <w:rFonts w:ascii="Times New Roman" w:hAnsi="Times New Roman" w:cs="Times New Roman"/>
          <w:b/>
          <w:sz w:val="24"/>
          <w:szCs w:val="24"/>
        </w:rPr>
      </w:pPr>
    </w:p>
    <w:p w:rsidR="00BB024D" w:rsidRPr="00BB024D" w:rsidRDefault="00BB024D" w:rsidP="00BB024D">
      <w:pPr>
        <w:spacing w:line="480" w:lineRule="auto"/>
        <w:jc w:val="both"/>
        <w:rPr>
          <w:rFonts w:ascii="Times New Roman" w:hAnsi="Times New Roman" w:cs="Times New Roman"/>
          <w:b/>
          <w:sz w:val="24"/>
          <w:szCs w:val="24"/>
        </w:rPr>
      </w:pPr>
    </w:p>
    <w:p w:rsidR="008A0A7C" w:rsidRPr="00BB024D" w:rsidRDefault="008A0A7C" w:rsidP="00BB024D">
      <w:pPr>
        <w:spacing w:after="0" w:line="360" w:lineRule="auto"/>
        <w:jc w:val="right"/>
        <w:rPr>
          <w:rFonts w:ascii="Times New Roman" w:hAnsi="Times New Roman" w:cs="Times New Roman"/>
          <w:b/>
          <w:sz w:val="24"/>
          <w:szCs w:val="24"/>
        </w:rPr>
      </w:pPr>
      <w:r w:rsidRPr="00BB024D">
        <w:rPr>
          <w:rFonts w:ascii="Times New Roman" w:hAnsi="Times New Roman" w:cs="Times New Roman"/>
          <w:b/>
          <w:sz w:val="24"/>
          <w:szCs w:val="24"/>
        </w:rPr>
        <w:t>Autores:</w:t>
      </w:r>
    </w:p>
    <w:p w:rsidR="008A0A7C" w:rsidRPr="00BB024D" w:rsidRDefault="008A0A7C" w:rsidP="00BB024D">
      <w:pPr>
        <w:spacing w:after="0" w:line="240" w:lineRule="auto"/>
        <w:jc w:val="right"/>
        <w:rPr>
          <w:rFonts w:ascii="Times New Roman" w:hAnsi="Times New Roman" w:cs="Times New Roman"/>
          <w:sz w:val="24"/>
          <w:szCs w:val="24"/>
        </w:rPr>
      </w:pPr>
    </w:p>
    <w:p w:rsidR="008A0A7C" w:rsidRPr="00BB024D" w:rsidRDefault="008A0A7C" w:rsidP="00BB024D">
      <w:pPr>
        <w:spacing w:after="0" w:line="240" w:lineRule="auto"/>
        <w:jc w:val="right"/>
        <w:rPr>
          <w:rFonts w:ascii="Times New Roman" w:hAnsi="Times New Roman" w:cs="Times New Roman"/>
          <w:sz w:val="24"/>
          <w:szCs w:val="24"/>
        </w:rPr>
      </w:pPr>
      <w:r w:rsidRPr="00BB024D">
        <w:rPr>
          <w:rFonts w:ascii="Times New Roman" w:hAnsi="Times New Roman" w:cs="Times New Roman"/>
          <w:sz w:val="24"/>
          <w:szCs w:val="24"/>
        </w:rPr>
        <w:t>Ana Maria Bandeira</w:t>
      </w:r>
    </w:p>
    <w:p w:rsidR="008A0A7C" w:rsidRPr="00BB024D" w:rsidRDefault="008A0A7C" w:rsidP="00BB024D">
      <w:pPr>
        <w:spacing w:after="0" w:line="240" w:lineRule="auto"/>
        <w:jc w:val="right"/>
        <w:rPr>
          <w:rFonts w:ascii="Times New Roman" w:hAnsi="Times New Roman" w:cs="Times New Roman"/>
          <w:sz w:val="24"/>
          <w:szCs w:val="24"/>
        </w:rPr>
      </w:pPr>
      <w:r w:rsidRPr="00BB024D">
        <w:rPr>
          <w:rFonts w:ascii="Times New Roman" w:hAnsi="Times New Roman" w:cs="Times New Roman"/>
          <w:sz w:val="24"/>
          <w:szCs w:val="24"/>
        </w:rPr>
        <w:t>Professora Adjunta</w:t>
      </w:r>
    </w:p>
    <w:p w:rsidR="008A0A7C" w:rsidRPr="00BB024D" w:rsidRDefault="008A0A7C" w:rsidP="00BB024D">
      <w:pPr>
        <w:spacing w:after="0" w:line="240" w:lineRule="auto"/>
        <w:jc w:val="right"/>
        <w:rPr>
          <w:rFonts w:ascii="Times New Roman" w:hAnsi="Times New Roman" w:cs="Times New Roman"/>
          <w:sz w:val="24"/>
          <w:szCs w:val="24"/>
        </w:rPr>
      </w:pPr>
      <w:r w:rsidRPr="00BB024D">
        <w:rPr>
          <w:rFonts w:ascii="Times New Roman" w:hAnsi="Times New Roman" w:cs="Times New Roman"/>
          <w:sz w:val="24"/>
          <w:szCs w:val="24"/>
        </w:rPr>
        <w:t>P.PORTO/ISCAP/CEOS</w:t>
      </w:r>
      <w:r w:rsidR="00D76B85">
        <w:rPr>
          <w:rFonts w:ascii="Times New Roman" w:hAnsi="Times New Roman" w:cs="Times New Roman"/>
          <w:sz w:val="24"/>
          <w:szCs w:val="24"/>
        </w:rPr>
        <w:t>.PP</w:t>
      </w:r>
      <w:r w:rsidRPr="00BB024D">
        <w:rPr>
          <w:rFonts w:ascii="Times New Roman" w:hAnsi="Times New Roman" w:cs="Times New Roman"/>
          <w:sz w:val="24"/>
          <w:szCs w:val="24"/>
        </w:rPr>
        <w:t>/CEPESE</w:t>
      </w:r>
    </w:p>
    <w:p w:rsidR="008A0A7C" w:rsidRPr="00BB024D" w:rsidRDefault="008A0A7C" w:rsidP="00BB024D">
      <w:pPr>
        <w:spacing w:after="0" w:line="240" w:lineRule="auto"/>
        <w:jc w:val="right"/>
        <w:rPr>
          <w:rFonts w:ascii="Times New Roman" w:hAnsi="Times New Roman" w:cs="Times New Roman"/>
          <w:sz w:val="24"/>
          <w:szCs w:val="24"/>
        </w:rPr>
      </w:pPr>
      <w:r w:rsidRPr="00BB024D">
        <w:rPr>
          <w:rFonts w:ascii="Times New Roman" w:hAnsi="Times New Roman" w:cs="Times New Roman"/>
          <w:color w:val="0000FF"/>
          <w:sz w:val="24"/>
          <w:szCs w:val="24"/>
        </w:rPr>
        <w:t>bandeira@iscap.ipp.pt</w:t>
      </w:r>
    </w:p>
    <w:p w:rsidR="008A0A7C" w:rsidRPr="00BB024D" w:rsidRDefault="008A0A7C" w:rsidP="00BB024D">
      <w:pPr>
        <w:spacing w:after="0" w:line="240" w:lineRule="auto"/>
        <w:jc w:val="right"/>
        <w:rPr>
          <w:rFonts w:ascii="Times New Roman" w:hAnsi="Times New Roman" w:cs="Times New Roman"/>
          <w:sz w:val="24"/>
          <w:szCs w:val="24"/>
        </w:rPr>
      </w:pPr>
    </w:p>
    <w:p w:rsidR="008A0A7C" w:rsidRPr="00BB024D" w:rsidRDefault="008A0A7C" w:rsidP="00BB024D">
      <w:pPr>
        <w:spacing w:after="0" w:line="240" w:lineRule="auto"/>
        <w:jc w:val="right"/>
        <w:rPr>
          <w:rFonts w:ascii="Times New Roman" w:hAnsi="Times New Roman" w:cs="Times New Roman"/>
          <w:sz w:val="24"/>
          <w:szCs w:val="24"/>
        </w:rPr>
      </w:pPr>
      <w:r w:rsidRPr="00BB024D">
        <w:rPr>
          <w:rFonts w:ascii="Times New Roman" w:hAnsi="Times New Roman" w:cs="Times New Roman"/>
          <w:sz w:val="24"/>
          <w:szCs w:val="24"/>
        </w:rPr>
        <w:t>Deolinda Aparício Meira</w:t>
      </w:r>
    </w:p>
    <w:p w:rsidR="008A0A7C" w:rsidRPr="00BB024D" w:rsidRDefault="008A0A7C" w:rsidP="00BB024D">
      <w:pPr>
        <w:spacing w:after="0" w:line="240" w:lineRule="auto"/>
        <w:jc w:val="right"/>
        <w:rPr>
          <w:rFonts w:ascii="Times New Roman" w:hAnsi="Times New Roman" w:cs="Times New Roman"/>
          <w:sz w:val="24"/>
          <w:szCs w:val="24"/>
        </w:rPr>
      </w:pPr>
      <w:r w:rsidRPr="00BB024D">
        <w:rPr>
          <w:rFonts w:ascii="Times New Roman" w:hAnsi="Times New Roman" w:cs="Times New Roman"/>
          <w:sz w:val="24"/>
          <w:szCs w:val="24"/>
        </w:rPr>
        <w:t>Professora Adjunta</w:t>
      </w:r>
    </w:p>
    <w:p w:rsidR="008A0A7C" w:rsidRPr="00BB024D" w:rsidRDefault="008A0A7C" w:rsidP="00BB024D">
      <w:pPr>
        <w:spacing w:after="0" w:line="240" w:lineRule="auto"/>
        <w:jc w:val="right"/>
        <w:rPr>
          <w:rFonts w:ascii="Times New Roman" w:hAnsi="Times New Roman" w:cs="Times New Roman"/>
          <w:sz w:val="24"/>
          <w:szCs w:val="24"/>
        </w:rPr>
      </w:pPr>
      <w:r w:rsidRPr="00BB024D">
        <w:rPr>
          <w:rFonts w:ascii="Times New Roman" w:hAnsi="Times New Roman" w:cs="Times New Roman"/>
          <w:sz w:val="24"/>
          <w:szCs w:val="24"/>
        </w:rPr>
        <w:t>P.PORTO/ISCAP/CEOS</w:t>
      </w:r>
      <w:r w:rsidR="00D76B85">
        <w:rPr>
          <w:rFonts w:ascii="Times New Roman" w:hAnsi="Times New Roman" w:cs="Times New Roman"/>
          <w:sz w:val="24"/>
          <w:szCs w:val="24"/>
        </w:rPr>
        <w:t>.PP</w:t>
      </w:r>
      <w:bookmarkStart w:id="2" w:name="_GoBack"/>
      <w:bookmarkEnd w:id="2"/>
    </w:p>
    <w:p w:rsidR="008A0A7C" w:rsidRPr="00BB024D" w:rsidRDefault="008A0A7C" w:rsidP="00BB024D">
      <w:pPr>
        <w:spacing w:after="0" w:line="240" w:lineRule="auto"/>
        <w:jc w:val="right"/>
        <w:rPr>
          <w:rFonts w:ascii="Times New Roman" w:hAnsi="Times New Roman" w:cs="Times New Roman"/>
          <w:sz w:val="24"/>
          <w:szCs w:val="24"/>
        </w:rPr>
      </w:pPr>
      <w:r w:rsidRPr="00BB024D">
        <w:rPr>
          <w:rFonts w:ascii="Times New Roman" w:hAnsi="Times New Roman" w:cs="Times New Roman"/>
          <w:color w:val="0000FF"/>
          <w:sz w:val="24"/>
          <w:szCs w:val="24"/>
        </w:rPr>
        <w:t>meira@iscap.ipp.pt</w:t>
      </w:r>
    </w:p>
    <w:p w:rsidR="008A0A7C" w:rsidRPr="00BB024D" w:rsidRDefault="008A0A7C" w:rsidP="00BB024D">
      <w:pPr>
        <w:spacing w:after="0" w:line="240" w:lineRule="auto"/>
        <w:jc w:val="right"/>
        <w:rPr>
          <w:rFonts w:ascii="Times New Roman" w:hAnsi="Times New Roman" w:cs="Times New Roman"/>
          <w:b/>
          <w:sz w:val="24"/>
          <w:szCs w:val="24"/>
        </w:rPr>
      </w:pPr>
    </w:p>
    <w:p w:rsidR="008A0A7C" w:rsidRPr="00BB024D" w:rsidRDefault="008A0A7C" w:rsidP="00BB024D">
      <w:pPr>
        <w:spacing w:after="0" w:line="240" w:lineRule="auto"/>
        <w:jc w:val="right"/>
        <w:rPr>
          <w:rFonts w:ascii="Times New Roman" w:hAnsi="Times New Roman" w:cs="Times New Roman"/>
          <w:sz w:val="24"/>
          <w:szCs w:val="24"/>
        </w:rPr>
      </w:pPr>
      <w:r w:rsidRPr="00BB024D">
        <w:rPr>
          <w:rFonts w:ascii="Times New Roman" w:hAnsi="Times New Roman" w:cs="Times New Roman"/>
          <w:sz w:val="24"/>
          <w:szCs w:val="24"/>
        </w:rPr>
        <w:t>Paula Cristina Moreira da Silva</w:t>
      </w:r>
    </w:p>
    <w:p w:rsidR="008A0A7C" w:rsidRPr="00BB024D" w:rsidRDefault="008A0A7C" w:rsidP="00BB024D">
      <w:pPr>
        <w:spacing w:after="0" w:line="240" w:lineRule="auto"/>
        <w:jc w:val="right"/>
        <w:rPr>
          <w:rFonts w:ascii="Times New Roman" w:hAnsi="Times New Roman" w:cs="Times New Roman"/>
          <w:sz w:val="24"/>
          <w:szCs w:val="24"/>
        </w:rPr>
      </w:pPr>
      <w:r w:rsidRPr="00BB024D">
        <w:rPr>
          <w:rFonts w:ascii="Times New Roman" w:hAnsi="Times New Roman" w:cs="Times New Roman"/>
          <w:sz w:val="24"/>
          <w:szCs w:val="24"/>
        </w:rPr>
        <w:t xml:space="preserve">Mestre em Contabilidade e Finanças </w:t>
      </w:r>
    </w:p>
    <w:p w:rsidR="008A0A7C" w:rsidRPr="00BB024D" w:rsidRDefault="0074482B" w:rsidP="00BB024D">
      <w:pPr>
        <w:spacing w:after="0" w:line="240" w:lineRule="auto"/>
        <w:jc w:val="right"/>
        <w:rPr>
          <w:rFonts w:ascii="Times New Roman" w:hAnsi="Times New Roman" w:cs="Times New Roman"/>
          <w:sz w:val="24"/>
          <w:szCs w:val="24"/>
        </w:rPr>
      </w:pPr>
      <w:hyperlink r:id="rId8" w:history="1">
        <w:r w:rsidR="008A0A7C" w:rsidRPr="00BB024D">
          <w:rPr>
            <w:rStyle w:val="Hiperligao"/>
            <w:rFonts w:ascii="Times New Roman" w:hAnsi="Times New Roman" w:cs="Times New Roman"/>
            <w:sz w:val="24"/>
            <w:szCs w:val="24"/>
          </w:rPr>
          <w:t>pcrissilva@sapo.pt</w:t>
        </w:r>
      </w:hyperlink>
    </w:p>
    <w:p w:rsidR="008A0A7C" w:rsidRPr="00BB024D" w:rsidRDefault="008A0A7C" w:rsidP="00BB024D">
      <w:pPr>
        <w:spacing w:after="0" w:line="240" w:lineRule="auto"/>
        <w:jc w:val="both"/>
        <w:rPr>
          <w:rFonts w:ascii="Times New Roman" w:hAnsi="Times New Roman" w:cs="Times New Roman"/>
          <w:b/>
          <w:sz w:val="24"/>
          <w:szCs w:val="24"/>
        </w:rPr>
      </w:pPr>
    </w:p>
    <w:p w:rsidR="008A0A7C" w:rsidRPr="00BB024D" w:rsidRDefault="008A0A7C" w:rsidP="00BB024D">
      <w:pPr>
        <w:spacing w:after="0" w:line="240" w:lineRule="auto"/>
        <w:jc w:val="both"/>
        <w:rPr>
          <w:rFonts w:ascii="Times New Roman" w:hAnsi="Times New Roman" w:cs="Times New Roman"/>
          <w:b/>
          <w:sz w:val="24"/>
          <w:szCs w:val="24"/>
        </w:rPr>
      </w:pPr>
    </w:p>
    <w:p w:rsidR="008A0A7C" w:rsidRPr="00BB024D" w:rsidRDefault="008A0A7C" w:rsidP="00BB024D">
      <w:pPr>
        <w:spacing w:after="0" w:line="240" w:lineRule="auto"/>
        <w:jc w:val="both"/>
        <w:rPr>
          <w:rFonts w:ascii="Times New Roman" w:hAnsi="Times New Roman" w:cs="Times New Roman"/>
          <w:b/>
          <w:sz w:val="24"/>
          <w:szCs w:val="24"/>
        </w:rPr>
      </w:pPr>
    </w:p>
    <w:p w:rsidR="008A0A7C" w:rsidRDefault="008A0A7C" w:rsidP="00BB024D">
      <w:pPr>
        <w:spacing w:after="0" w:line="240" w:lineRule="auto"/>
        <w:jc w:val="both"/>
        <w:rPr>
          <w:rFonts w:ascii="Times New Roman" w:hAnsi="Times New Roman" w:cs="Times New Roman"/>
          <w:b/>
          <w:sz w:val="24"/>
          <w:szCs w:val="24"/>
        </w:rPr>
      </w:pPr>
    </w:p>
    <w:p w:rsidR="00BB024D" w:rsidRDefault="00BB024D" w:rsidP="00BB024D">
      <w:pPr>
        <w:spacing w:after="0" w:line="240" w:lineRule="auto"/>
        <w:jc w:val="both"/>
        <w:rPr>
          <w:rFonts w:ascii="Times New Roman" w:hAnsi="Times New Roman" w:cs="Times New Roman"/>
          <w:b/>
          <w:sz w:val="24"/>
          <w:szCs w:val="24"/>
        </w:rPr>
      </w:pPr>
    </w:p>
    <w:p w:rsidR="00BB024D" w:rsidRPr="00BB024D" w:rsidRDefault="00BB024D" w:rsidP="00BB024D">
      <w:pPr>
        <w:spacing w:after="0" w:line="240" w:lineRule="auto"/>
        <w:jc w:val="both"/>
        <w:rPr>
          <w:rFonts w:ascii="Times New Roman" w:hAnsi="Times New Roman" w:cs="Times New Roman"/>
          <w:b/>
          <w:sz w:val="24"/>
          <w:szCs w:val="24"/>
        </w:rPr>
      </w:pPr>
    </w:p>
    <w:p w:rsidR="008A0A7C" w:rsidRPr="00BB024D" w:rsidRDefault="008A0A7C" w:rsidP="00BB024D">
      <w:pPr>
        <w:spacing w:after="0" w:line="240" w:lineRule="auto"/>
        <w:jc w:val="both"/>
        <w:rPr>
          <w:rFonts w:ascii="Times New Roman" w:hAnsi="Times New Roman" w:cs="Times New Roman"/>
          <w:b/>
          <w:sz w:val="24"/>
          <w:szCs w:val="24"/>
        </w:rPr>
      </w:pPr>
    </w:p>
    <w:p w:rsidR="008A0A7C" w:rsidRPr="00BB024D" w:rsidRDefault="008A0A7C" w:rsidP="00BB024D">
      <w:pPr>
        <w:spacing w:after="0" w:line="240" w:lineRule="auto"/>
        <w:jc w:val="both"/>
        <w:rPr>
          <w:rFonts w:ascii="Times New Roman" w:hAnsi="Times New Roman" w:cs="Times New Roman"/>
          <w:b/>
          <w:bCs/>
          <w:sz w:val="24"/>
          <w:szCs w:val="24"/>
        </w:rPr>
      </w:pPr>
      <w:r w:rsidRPr="00BB024D">
        <w:rPr>
          <w:rFonts w:ascii="Times New Roman" w:hAnsi="Times New Roman" w:cs="Times New Roman"/>
          <w:b/>
          <w:sz w:val="24"/>
          <w:szCs w:val="24"/>
        </w:rPr>
        <w:t xml:space="preserve">Área Temática: </w:t>
      </w:r>
      <w:r w:rsidR="00BB024D" w:rsidRPr="00BB024D">
        <w:rPr>
          <w:rFonts w:ascii="Times New Roman" w:hAnsi="Times New Roman" w:cs="Times New Roman"/>
          <w:b/>
          <w:bCs/>
          <w:sz w:val="24"/>
          <w:szCs w:val="24"/>
        </w:rPr>
        <w:t>I-Setor Público e Setor Não Lucrativo</w:t>
      </w:r>
    </w:p>
    <w:p w:rsidR="00BB024D" w:rsidRPr="00BB024D" w:rsidRDefault="00BB024D" w:rsidP="00BB024D">
      <w:pPr>
        <w:spacing w:after="0" w:line="240" w:lineRule="auto"/>
        <w:jc w:val="both"/>
        <w:rPr>
          <w:rFonts w:ascii="Times New Roman" w:hAnsi="Times New Roman" w:cs="Times New Roman"/>
          <w:sz w:val="24"/>
          <w:szCs w:val="24"/>
        </w:rPr>
      </w:pPr>
    </w:p>
    <w:p w:rsidR="008A0A7C" w:rsidRPr="00BB024D" w:rsidRDefault="008A0A7C" w:rsidP="00BB024D">
      <w:pPr>
        <w:spacing w:after="0" w:line="240" w:lineRule="auto"/>
        <w:jc w:val="both"/>
        <w:rPr>
          <w:rFonts w:ascii="Times New Roman" w:hAnsi="Times New Roman" w:cs="Times New Roman"/>
          <w:sz w:val="24"/>
          <w:szCs w:val="24"/>
        </w:rPr>
      </w:pPr>
    </w:p>
    <w:p w:rsidR="008A0A7C" w:rsidRPr="00BB024D" w:rsidRDefault="008A0A7C" w:rsidP="00BB024D">
      <w:pPr>
        <w:pStyle w:val="CitaoIntensa"/>
        <w:pBdr>
          <w:bottom w:val="none" w:sz="0" w:space="0" w:color="auto"/>
        </w:pBdr>
        <w:spacing w:before="0" w:after="0" w:line="240" w:lineRule="auto"/>
        <w:ind w:left="0" w:right="0"/>
        <w:outlineLvl w:val="0"/>
        <w:rPr>
          <w:rFonts w:ascii="Times New Roman" w:hAnsi="Times New Roman" w:cs="Times New Roman"/>
          <w:sz w:val="24"/>
          <w:szCs w:val="24"/>
        </w:rPr>
      </w:pPr>
      <w:r w:rsidRPr="00BB024D">
        <w:rPr>
          <w:rFonts w:ascii="Times New Roman" w:hAnsi="Times New Roman" w:cs="Times New Roman"/>
          <w:sz w:val="24"/>
          <w:szCs w:val="24"/>
        </w:rPr>
        <w:t>Tipologia do Trabalho: Comunicação</w:t>
      </w:r>
    </w:p>
    <w:p w:rsidR="00BB024D" w:rsidRPr="00BB024D" w:rsidRDefault="00BB024D" w:rsidP="00BB024D">
      <w:pPr>
        <w:pStyle w:val="CitaoIntensa"/>
        <w:pBdr>
          <w:bottom w:val="none" w:sz="0" w:space="0" w:color="auto"/>
        </w:pBdr>
        <w:spacing w:before="0" w:after="0" w:line="240" w:lineRule="auto"/>
        <w:ind w:left="0" w:right="0"/>
        <w:outlineLvl w:val="0"/>
        <w:rPr>
          <w:rFonts w:ascii="Times New Roman" w:hAnsi="Times New Roman" w:cs="Times New Roman"/>
          <w:i w:val="0"/>
          <w:sz w:val="24"/>
          <w:szCs w:val="24"/>
        </w:rPr>
      </w:pPr>
    </w:p>
    <w:p w:rsidR="00471855" w:rsidRPr="00BB024D" w:rsidRDefault="003F250B" w:rsidP="009F3FAC">
      <w:pPr>
        <w:pStyle w:val="CitaoIntensa"/>
        <w:pBdr>
          <w:bottom w:val="none" w:sz="0" w:space="0" w:color="auto"/>
        </w:pBdr>
        <w:spacing w:before="0" w:after="120" w:line="360" w:lineRule="auto"/>
        <w:ind w:left="0" w:right="0"/>
        <w:outlineLvl w:val="0"/>
        <w:rPr>
          <w:rFonts w:ascii="Times New Roman" w:hAnsi="Times New Roman" w:cs="Times New Roman"/>
          <w:i w:val="0"/>
          <w:sz w:val="24"/>
          <w:szCs w:val="24"/>
        </w:rPr>
      </w:pPr>
      <w:r w:rsidRPr="00BB024D">
        <w:rPr>
          <w:rFonts w:ascii="Times New Roman" w:hAnsi="Times New Roman" w:cs="Times New Roman"/>
          <w:i w:val="0"/>
          <w:sz w:val="24"/>
          <w:szCs w:val="24"/>
        </w:rPr>
        <w:lastRenderedPageBreak/>
        <w:t>R</w:t>
      </w:r>
      <w:r w:rsidR="00471855" w:rsidRPr="00BB024D">
        <w:rPr>
          <w:rFonts w:ascii="Times New Roman" w:hAnsi="Times New Roman" w:cs="Times New Roman"/>
          <w:i w:val="0"/>
          <w:sz w:val="24"/>
          <w:szCs w:val="24"/>
        </w:rPr>
        <w:t>esumo</w:t>
      </w:r>
      <w:bookmarkEnd w:id="0"/>
      <w:bookmarkEnd w:id="1"/>
    </w:p>
    <w:p w:rsidR="00210D28" w:rsidRPr="00AE630B" w:rsidRDefault="00210D28" w:rsidP="009F3FAC">
      <w:pPr>
        <w:autoSpaceDE w:val="0"/>
        <w:autoSpaceDN w:val="0"/>
        <w:adjustRightInd w:val="0"/>
        <w:spacing w:after="120" w:line="360" w:lineRule="auto"/>
        <w:jc w:val="both"/>
        <w:rPr>
          <w:rFonts w:ascii="Times New Roman" w:hAnsi="Times New Roman" w:cs="Times New Roman"/>
          <w:sz w:val="24"/>
          <w:szCs w:val="24"/>
        </w:rPr>
      </w:pPr>
      <w:r w:rsidRPr="00AE630B">
        <w:rPr>
          <w:rFonts w:ascii="Times New Roman" w:hAnsi="Times New Roman" w:cs="Times New Roman"/>
          <w:sz w:val="24"/>
          <w:szCs w:val="24"/>
        </w:rPr>
        <w:t xml:space="preserve">As paróquias são entidades da economia social cuja missão é a de prestar apoio espiritual e social às comunidades em que estão inseridas. Na sua missão evangelizadora e social, estas entidades necessitam de recursos financeiros para prosseguirem os seus fins. </w:t>
      </w:r>
    </w:p>
    <w:p w:rsidR="00210D28" w:rsidRPr="00AE630B" w:rsidRDefault="00210D28" w:rsidP="009F3FAC">
      <w:pPr>
        <w:spacing w:after="120" w:line="360" w:lineRule="auto"/>
        <w:jc w:val="both"/>
        <w:rPr>
          <w:rFonts w:ascii="Times New Roman" w:hAnsi="Times New Roman" w:cs="Times New Roman"/>
          <w:sz w:val="24"/>
          <w:szCs w:val="24"/>
        </w:rPr>
      </w:pPr>
      <w:r w:rsidRPr="00AE630B">
        <w:rPr>
          <w:rFonts w:ascii="Times New Roman" w:hAnsi="Times New Roman" w:cs="Times New Roman"/>
          <w:sz w:val="24"/>
          <w:szCs w:val="24"/>
        </w:rPr>
        <w:t>Neste sentido, a estrutura contabilística e</w:t>
      </w:r>
      <w:r w:rsidR="008E17E3">
        <w:rPr>
          <w:rFonts w:ascii="Times New Roman" w:hAnsi="Times New Roman" w:cs="Times New Roman"/>
          <w:sz w:val="24"/>
          <w:szCs w:val="24"/>
        </w:rPr>
        <w:t xml:space="preserve"> financeira destas instituições</w:t>
      </w:r>
      <w:r w:rsidRPr="00AE630B">
        <w:rPr>
          <w:rFonts w:ascii="Times New Roman" w:hAnsi="Times New Roman" w:cs="Times New Roman"/>
          <w:sz w:val="24"/>
          <w:szCs w:val="24"/>
        </w:rPr>
        <w:t xml:space="preserve"> deve estar preparada, tanto a nível interno como externo, para realizar um controlo eficaz e apropriado dos seus recursos, bem como transmitir informação rigorosa, transparente e fidedigna da sua atividade.</w:t>
      </w:r>
    </w:p>
    <w:p w:rsidR="00210D28" w:rsidRPr="00AE630B" w:rsidRDefault="00210D28" w:rsidP="009F3FAC">
      <w:pPr>
        <w:spacing w:after="120" w:line="360" w:lineRule="auto"/>
        <w:jc w:val="both"/>
        <w:rPr>
          <w:rFonts w:ascii="Times New Roman" w:hAnsi="Times New Roman" w:cs="Times New Roman"/>
          <w:color w:val="000000"/>
          <w:sz w:val="24"/>
          <w:szCs w:val="24"/>
        </w:rPr>
      </w:pPr>
      <w:r w:rsidRPr="00AE630B">
        <w:rPr>
          <w:rFonts w:ascii="Times New Roman" w:hAnsi="Times New Roman" w:cs="Times New Roman"/>
          <w:sz w:val="24"/>
          <w:szCs w:val="24"/>
        </w:rPr>
        <w:t xml:space="preserve">Cientes desta problemática, a escolha deste tema </w:t>
      </w:r>
      <w:r w:rsidRPr="00AE630B">
        <w:rPr>
          <w:rFonts w:ascii="Times New Roman" w:hAnsi="Times New Roman" w:cs="Times New Roman"/>
          <w:color w:val="000000"/>
          <w:sz w:val="24"/>
          <w:szCs w:val="24"/>
        </w:rPr>
        <w:t xml:space="preserve">deveu-se ao facto da informação financeira das paróquias não ser acessível ao público em geral, uma vez que os seus dados normalmente não se encontram publicados. </w:t>
      </w:r>
    </w:p>
    <w:p w:rsidR="00210D28" w:rsidRDefault="00210D28" w:rsidP="009F3FAC">
      <w:pPr>
        <w:spacing w:after="120" w:line="360" w:lineRule="auto"/>
        <w:jc w:val="both"/>
        <w:rPr>
          <w:rFonts w:ascii="Times New Roman" w:hAnsi="Times New Roman" w:cs="Times New Roman"/>
          <w:color w:val="000000"/>
          <w:sz w:val="24"/>
          <w:szCs w:val="24"/>
        </w:rPr>
      </w:pPr>
      <w:r w:rsidRPr="00AE630B">
        <w:rPr>
          <w:rFonts w:ascii="Times New Roman" w:hAnsi="Times New Roman" w:cs="Times New Roman"/>
          <w:color w:val="000000"/>
          <w:sz w:val="24"/>
          <w:szCs w:val="24"/>
        </w:rPr>
        <w:t xml:space="preserve">Este estudo tem como objetivo identificar os instrumentos jurídicos e contabilísticos que permitem a adequada transparência do relato financeiro por partes destas entidades. </w:t>
      </w:r>
      <w:r w:rsidRPr="00AE630B">
        <w:rPr>
          <w:rFonts w:ascii="Times New Roman" w:hAnsi="Times New Roman" w:cs="Times New Roman"/>
          <w:sz w:val="24"/>
          <w:szCs w:val="24"/>
        </w:rPr>
        <w:t xml:space="preserve">Os resultados do estudo mostram que o número, de paróquias com </w:t>
      </w:r>
      <w:r w:rsidRPr="00AE630B">
        <w:rPr>
          <w:rFonts w:ascii="Times New Roman" w:hAnsi="Times New Roman" w:cs="Times New Roman"/>
          <w:i/>
          <w:sz w:val="24"/>
          <w:szCs w:val="24"/>
        </w:rPr>
        <w:t>website</w:t>
      </w:r>
      <w:r w:rsidRPr="00AE630B">
        <w:rPr>
          <w:rFonts w:ascii="Times New Roman" w:hAnsi="Times New Roman" w:cs="Times New Roman"/>
          <w:sz w:val="24"/>
          <w:szCs w:val="24"/>
        </w:rPr>
        <w:t xml:space="preserve"> e que utilizam este meio para apresentar o relato financeiro, é muito reduzido. Verificou-se</w:t>
      </w:r>
      <w:r w:rsidRPr="00AE630B">
        <w:rPr>
          <w:rFonts w:ascii="Times New Roman" w:hAnsi="Times New Roman" w:cs="Times New Roman"/>
          <w:color w:val="000000"/>
          <w:sz w:val="24"/>
          <w:szCs w:val="24"/>
        </w:rPr>
        <w:t xml:space="preserve"> ainda que as demonstrações financeiras elaboradas pelas paróquias não estão de acordo com as regras definidas pelo normativo contabilístico aplicado às Entidades do Setor Não Lucrativo e que não existe uniformização na prestação de contas. </w:t>
      </w:r>
    </w:p>
    <w:p w:rsidR="00210D28" w:rsidRPr="00AE630B" w:rsidRDefault="00210D28" w:rsidP="009F3FAC">
      <w:pPr>
        <w:spacing w:after="120" w:line="360" w:lineRule="auto"/>
        <w:jc w:val="both"/>
        <w:rPr>
          <w:rFonts w:ascii="Times New Roman" w:hAnsi="Times New Roman" w:cs="Times New Roman"/>
          <w:color w:val="000000"/>
          <w:sz w:val="24"/>
          <w:szCs w:val="24"/>
        </w:rPr>
      </w:pPr>
    </w:p>
    <w:p w:rsidR="00210D28" w:rsidRPr="00AE630B" w:rsidRDefault="00210D28" w:rsidP="009F3FAC">
      <w:pPr>
        <w:spacing w:after="120" w:line="360" w:lineRule="auto"/>
        <w:jc w:val="both"/>
        <w:rPr>
          <w:rFonts w:ascii="Times New Roman" w:hAnsi="Times New Roman" w:cs="Times New Roman"/>
          <w:sz w:val="24"/>
          <w:szCs w:val="24"/>
        </w:rPr>
      </w:pPr>
      <w:r w:rsidRPr="00AE630B">
        <w:rPr>
          <w:rFonts w:ascii="Times New Roman" w:hAnsi="Times New Roman" w:cs="Times New Roman"/>
          <w:b/>
          <w:color w:val="000000"/>
          <w:sz w:val="24"/>
          <w:szCs w:val="24"/>
        </w:rPr>
        <w:t>Palavras Chave:</w:t>
      </w:r>
      <w:r w:rsidRPr="00AE630B">
        <w:rPr>
          <w:rFonts w:ascii="Times New Roman" w:hAnsi="Times New Roman" w:cs="Times New Roman"/>
          <w:color w:val="000000"/>
          <w:sz w:val="24"/>
          <w:szCs w:val="24"/>
        </w:rPr>
        <w:t xml:space="preserve"> </w:t>
      </w:r>
      <w:r w:rsidRPr="00AE630B">
        <w:rPr>
          <w:rFonts w:ascii="Times New Roman" w:hAnsi="Times New Roman" w:cs="Times New Roman"/>
          <w:sz w:val="24"/>
          <w:szCs w:val="24"/>
        </w:rPr>
        <w:t>Economia social, Igreja Católica, Relato financeiro, Transparência.</w:t>
      </w:r>
    </w:p>
    <w:p w:rsidR="0053357F" w:rsidRPr="00BB024D" w:rsidRDefault="0053357F" w:rsidP="009F3FAC">
      <w:pPr>
        <w:spacing w:after="120" w:line="360" w:lineRule="auto"/>
        <w:jc w:val="both"/>
        <w:rPr>
          <w:rFonts w:ascii="Times New Roman" w:hAnsi="Times New Roman" w:cs="Times New Roman"/>
          <w:sz w:val="24"/>
          <w:szCs w:val="24"/>
        </w:rPr>
      </w:pPr>
    </w:p>
    <w:p w:rsidR="00645C73" w:rsidRPr="00BB024D" w:rsidRDefault="00645C73" w:rsidP="009F3FAC">
      <w:pPr>
        <w:spacing w:after="120" w:line="360" w:lineRule="auto"/>
        <w:jc w:val="both"/>
        <w:rPr>
          <w:rFonts w:ascii="Times New Roman" w:hAnsi="Times New Roman" w:cs="Times New Roman"/>
          <w:color w:val="4F81BD" w:themeColor="accent1"/>
          <w:sz w:val="24"/>
          <w:szCs w:val="24"/>
        </w:rPr>
      </w:pPr>
    </w:p>
    <w:p w:rsidR="003F05D0" w:rsidRDefault="003F05D0" w:rsidP="009F3FAC">
      <w:pPr>
        <w:spacing w:after="120" w:line="360" w:lineRule="auto"/>
        <w:jc w:val="both"/>
        <w:rPr>
          <w:rFonts w:ascii="Times New Roman" w:hAnsi="Times New Roman" w:cs="Times New Roman"/>
          <w:color w:val="4F81BD" w:themeColor="accent1"/>
          <w:sz w:val="24"/>
          <w:szCs w:val="24"/>
        </w:rPr>
      </w:pPr>
    </w:p>
    <w:p w:rsidR="00210D28" w:rsidRPr="00BB024D" w:rsidRDefault="00210D28" w:rsidP="009F3FAC">
      <w:pPr>
        <w:spacing w:after="120" w:line="360" w:lineRule="auto"/>
        <w:jc w:val="both"/>
        <w:rPr>
          <w:rFonts w:ascii="Times New Roman" w:hAnsi="Times New Roman" w:cs="Times New Roman"/>
          <w:color w:val="4F81BD" w:themeColor="accent1"/>
          <w:sz w:val="24"/>
          <w:szCs w:val="24"/>
        </w:rPr>
      </w:pPr>
    </w:p>
    <w:p w:rsidR="003F05D0" w:rsidRDefault="003F05D0" w:rsidP="009F3FAC">
      <w:pPr>
        <w:spacing w:after="120" w:line="360" w:lineRule="auto"/>
        <w:jc w:val="both"/>
        <w:rPr>
          <w:rFonts w:ascii="Times New Roman" w:hAnsi="Times New Roman" w:cs="Times New Roman"/>
          <w:color w:val="4F81BD" w:themeColor="accent1"/>
          <w:sz w:val="24"/>
          <w:szCs w:val="24"/>
        </w:rPr>
      </w:pPr>
    </w:p>
    <w:p w:rsidR="009F3FAC" w:rsidRDefault="009F3FAC" w:rsidP="009F3FAC">
      <w:pPr>
        <w:spacing w:after="120" w:line="360" w:lineRule="auto"/>
        <w:jc w:val="both"/>
        <w:rPr>
          <w:rFonts w:ascii="Times New Roman" w:hAnsi="Times New Roman" w:cs="Times New Roman"/>
          <w:color w:val="4F81BD" w:themeColor="accent1"/>
          <w:sz w:val="24"/>
          <w:szCs w:val="24"/>
        </w:rPr>
      </w:pPr>
    </w:p>
    <w:p w:rsidR="009F3FAC" w:rsidRDefault="009F3FAC" w:rsidP="009F3FAC">
      <w:pPr>
        <w:spacing w:after="120" w:line="360" w:lineRule="auto"/>
        <w:jc w:val="both"/>
        <w:rPr>
          <w:rFonts w:ascii="Times New Roman" w:hAnsi="Times New Roman" w:cs="Times New Roman"/>
          <w:color w:val="4F81BD" w:themeColor="accent1"/>
          <w:sz w:val="24"/>
          <w:szCs w:val="24"/>
        </w:rPr>
      </w:pPr>
    </w:p>
    <w:p w:rsidR="009F3FAC" w:rsidRDefault="009F3FAC" w:rsidP="009F3FAC">
      <w:pPr>
        <w:spacing w:after="120" w:line="360" w:lineRule="auto"/>
        <w:jc w:val="both"/>
        <w:rPr>
          <w:rFonts w:ascii="Times New Roman" w:hAnsi="Times New Roman" w:cs="Times New Roman"/>
          <w:color w:val="4F81BD" w:themeColor="accent1"/>
          <w:sz w:val="24"/>
          <w:szCs w:val="24"/>
        </w:rPr>
      </w:pPr>
    </w:p>
    <w:p w:rsidR="009F3FAC" w:rsidRDefault="009F3FAC" w:rsidP="009F3FAC">
      <w:pPr>
        <w:spacing w:after="120" w:line="360" w:lineRule="auto"/>
        <w:jc w:val="both"/>
        <w:rPr>
          <w:rFonts w:ascii="Times New Roman" w:hAnsi="Times New Roman" w:cs="Times New Roman"/>
          <w:color w:val="4F81BD" w:themeColor="accent1"/>
          <w:sz w:val="24"/>
          <w:szCs w:val="24"/>
        </w:rPr>
      </w:pPr>
    </w:p>
    <w:p w:rsidR="006C03A7" w:rsidRPr="00BB024D" w:rsidRDefault="006C03A7" w:rsidP="009F3FAC">
      <w:pPr>
        <w:spacing w:after="120" w:line="360" w:lineRule="auto"/>
        <w:jc w:val="both"/>
        <w:rPr>
          <w:rFonts w:ascii="Times New Roman" w:hAnsi="Times New Roman" w:cs="Times New Roman"/>
          <w:color w:val="4F81BD" w:themeColor="accent1"/>
          <w:sz w:val="24"/>
          <w:szCs w:val="24"/>
        </w:rPr>
      </w:pPr>
    </w:p>
    <w:p w:rsidR="006C03A7" w:rsidRPr="00BB024D" w:rsidRDefault="006C03A7" w:rsidP="006C03A7">
      <w:pPr>
        <w:pStyle w:val="CitaoIntensa"/>
        <w:pBdr>
          <w:bottom w:val="none" w:sz="0" w:space="0" w:color="auto"/>
        </w:pBdr>
        <w:spacing w:before="0" w:after="120" w:line="360" w:lineRule="auto"/>
        <w:ind w:left="0" w:right="0"/>
        <w:outlineLvl w:val="0"/>
        <w:rPr>
          <w:rFonts w:ascii="Times New Roman" w:hAnsi="Times New Roman" w:cs="Times New Roman"/>
          <w:i w:val="0"/>
          <w:sz w:val="24"/>
          <w:szCs w:val="24"/>
        </w:rPr>
      </w:pPr>
      <w:r>
        <w:rPr>
          <w:rFonts w:ascii="Times New Roman" w:hAnsi="Times New Roman" w:cs="Times New Roman"/>
          <w:i w:val="0"/>
          <w:sz w:val="24"/>
          <w:szCs w:val="24"/>
        </w:rPr>
        <w:lastRenderedPageBreak/>
        <w:t>1. Introdução</w:t>
      </w:r>
    </w:p>
    <w:p w:rsidR="003F05D0" w:rsidRPr="00BB024D" w:rsidRDefault="003F05D0" w:rsidP="009F3FAC">
      <w:pPr>
        <w:spacing w:after="120" w:line="360" w:lineRule="auto"/>
        <w:jc w:val="both"/>
        <w:rPr>
          <w:rFonts w:ascii="Times New Roman" w:hAnsi="Times New Roman" w:cs="Times New Roman"/>
          <w:sz w:val="24"/>
          <w:szCs w:val="24"/>
        </w:rPr>
      </w:pPr>
    </w:p>
    <w:p w:rsidR="004D0360" w:rsidRPr="00BB024D" w:rsidRDefault="004D0360" w:rsidP="009F3FAC">
      <w:pPr>
        <w:autoSpaceDE w:val="0"/>
        <w:autoSpaceDN w:val="0"/>
        <w:adjustRightInd w:val="0"/>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color w:val="000000"/>
          <w:sz w:val="24"/>
          <w:szCs w:val="24"/>
        </w:rPr>
        <w:t xml:space="preserve">Nas últimas décadas as paróquias têm vindo a desenvolver, a par com o culto religioso, os seus fins principais, outras atividades de cariz social, nomeadamente o apoio a famílias carenciadas, e atividades de natureza instrumental traduzidas no desenvolvimento de fins lucrativos destinados a sustentar a atividade principal. </w:t>
      </w:r>
    </w:p>
    <w:p w:rsidR="004D0360" w:rsidRPr="00BB024D" w:rsidRDefault="004D0360" w:rsidP="009F3FAC">
      <w:pPr>
        <w:autoSpaceDE w:val="0"/>
        <w:autoSpaceDN w:val="0"/>
        <w:adjustRightInd w:val="0"/>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color w:val="000000"/>
          <w:sz w:val="24"/>
          <w:szCs w:val="24"/>
        </w:rPr>
        <w:t>Estas atividades colocam problemas de enquadramento jurídico e contabilístico, designadamente a questão de saber qual o regime jurídico aplicado a este tipo de atividades e qual o normativo contabilístico que regerá as mesmas.</w:t>
      </w:r>
    </w:p>
    <w:p w:rsidR="004D0360" w:rsidRPr="00BB024D" w:rsidRDefault="004D0360" w:rsidP="009F3FAC">
      <w:pPr>
        <w:autoSpaceDE w:val="0"/>
        <w:autoSpaceDN w:val="0"/>
        <w:adjustRightInd w:val="0"/>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color w:val="000000"/>
          <w:sz w:val="24"/>
          <w:szCs w:val="24"/>
        </w:rPr>
        <w:t>Por outro lado, temos assistido a uma exigência de transparência na prestação de contas, a qual pressupõe uma contabilidade organizada.</w:t>
      </w:r>
    </w:p>
    <w:p w:rsidR="004D0360" w:rsidRPr="00BB024D" w:rsidRDefault="008E17E3" w:rsidP="009F3FAC">
      <w:pPr>
        <w:autoSpaceDE w:val="0"/>
        <w:autoSpaceDN w:val="0"/>
        <w:adjustRightInd w:val="0"/>
        <w:spacing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Uma grande parte das paróquias</w:t>
      </w:r>
      <w:r w:rsidR="004D0360" w:rsidRPr="00BB024D">
        <w:rPr>
          <w:rFonts w:ascii="Times New Roman" w:hAnsi="Times New Roman" w:cs="Times New Roman"/>
          <w:color w:val="000000"/>
          <w:sz w:val="24"/>
          <w:szCs w:val="24"/>
        </w:rPr>
        <w:t xml:space="preserve"> dispõem de uma contabilidade pouco elaborada, apesar da necessidade sentida face às exigências de controlo e de divulgação de informação.</w:t>
      </w:r>
    </w:p>
    <w:p w:rsidR="004D0360" w:rsidRPr="00BB024D" w:rsidRDefault="004D0360" w:rsidP="009F3FAC">
      <w:pPr>
        <w:autoSpaceDE w:val="0"/>
        <w:autoSpaceDN w:val="0"/>
        <w:adjustRightInd w:val="0"/>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color w:val="000000"/>
          <w:sz w:val="24"/>
          <w:szCs w:val="24"/>
        </w:rPr>
        <w:t>Neste sentido, a estrutura contabilística e financeira deve estar preparada, tanto a nível interno como externo, para transmitir uma informação fidedigna do desempenho destas instituições. Acresce ainda o facto da informação financeira constituir um fator determinante no processo de tomada de decisão e um elemento essencial para o eficaz funcionamento e controlo destas organizações.</w:t>
      </w:r>
    </w:p>
    <w:p w:rsidR="004D0360" w:rsidRPr="00BB024D" w:rsidRDefault="004D0360" w:rsidP="009F3FAC">
      <w:pPr>
        <w:autoSpaceDE w:val="0"/>
        <w:autoSpaceDN w:val="0"/>
        <w:adjustRightInd w:val="0"/>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color w:val="000000"/>
          <w:sz w:val="24"/>
          <w:szCs w:val="24"/>
        </w:rPr>
        <w:t>Assim, a escolha deste tema deveu-se ao facto de a informação financeira das instituições ligadas à Igreja Católica, nomeadamente as paróquias, não ser acessível ao público em geral, uma vez que os seus dados normalmente não se encontram publicados. Por outro lado, a necessidade de efetuar um estudo numa área de grande importância social, mas na qual existe uma enorme lacuna em termos científicos, uma vez que não há estudos realizados sobre esta temática.</w:t>
      </w:r>
    </w:p>
    <w:p w:rsidR="00210D28" w:rsidRDefault="004D0360" w:rsidP="009F3FAC">
      <w:pPr>
        <w:autoSpaceDE w:val="0"/>
        <w:autoSpaceDN w:val="0"/>
        <w:adjustRightInd w:val="0"/>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color w:val="000000"/>
          <w:sz w:val="24"/>
          <w:szCs w:val="24"/>
        </w:rPr>
        <w:t xml:space="preserve">O objetivo principal deste estudo é </w:t>
      </w:r>
      <w:r w:rsidR="00210D28">
        <w:rPr>
          <w:rFonts w:ascii="Times New Roman" w:hAnsi="Times New Roman" w:cs="Times New Roman"/>
          <w:color w:val="000000"/>
          <w:sz w:val="24"/>
          <w:szCs w:val="24"/>
        </w:rPr>
        <w:t xml:space="preserve">efetuar uma análise do ponto de vista jurídico e contabilístico, de forma a </w:t>
      </w:r>
      <w:r w:rsidR="002F6274" w:rsidRPr="00BB024D">
        <w:rPr>
          <w:rFonts w:ascii="Times New Roman" w:hAnsi="Times New Roman" w:cs="Times New Roman"/>
          <w:color w:val="000000"/>
          <w:sz w:val="24"/>
          <w:szCs w:val="24"/>
        </w:rPr>
        <w:t xml:space="preserve">identificar </w:t>
      </w:r>
      <w:r w:rsidR="00210D28">
        <w:rPr>
          <w:rFonts w:ascii="Times New Roman" w:hAnsi="Times New Roman" w:cs="Times New Roman"/>
          <w:color w:val="000000"/>
          <w:sz w:val="24"/>
          <w:szCs w:val="24"/>
        </w:rPr>
        <w:t>as normas e modelos de relato a que estão sujeitas as paróquias e se estes permitem</w:t>
      </w:r>
      <w:r w:rsidR="002F6274" w:rsidRPr="00BB024D">
        <w:rPr>
          <w:rFonts w:ascii="Times New Roman" w:hAnsi="Times New Roman" w:cs="Times New Roman"/>
          <w:color w:val="000000"/>
          <w:sz w:val="24"/>
          <w:szCs w:val="24"/>
        </w:rPr>
        <w:t xml:space="preserve"> a adequada transparência</w:t>
      </w:r>
      <w:r w:rsidR="00210D28">
        <w:rPr>
          <w:rFonts w:ascii="Times New Roman" w:hAnsi="Times New Roman" w:cs="Times New Roman"/>
          <w:color w:val="000000"/>
          <w:sz w:val="24"/>
          <w:szCs w:val="24"/>
        </w:rPr>
        <w:t xml:space="preserve"> da informação financeira. </w:t>
      </w:r>
    </w:p>
    <w:p w:rsidR="008E17E3" w:rsidRPr="00BB024D" w:rsidRDefault="004D0360" w:rsidP="009F3FAC">
      <w:pPr>
        <w:autoSpaceDE w:val="0"/>
        <w:autoSpaceDN w:val="0"/>
        <w:adjustRightInd w:val="0"/>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Para responder a este objetivo da investigação </w:t>
      </w:r>
      <w:r w:rsidR="002F6274" w:rsidRPr="00BB024D">
        <w:rPr>
          <w:rFonts w:ascii="Times New Roman" w:hAnsi="Times New Roman" w:cs="Times New Roman"/>
          <w:sz w:val="24"/>
          <w:szCs w:val="24"/>
        </w:rPr>
        <w:t>recorremos</w:t>
      </w:r>
      <w:r w:rsidRPr="00BB024D">
        <w:rPr>
          <w:rFonts w:ascii="Times New Roman" w:hAnsi="Times New Roman" w:cs="Times New Roman"/>
          <w:sz w:val="24"/>
          <w:szCs w:val="24"/>
        </w:rPr>
        <w:t xml:space="preserve"> a uma metodologia de natureza qualitativa. A recolha de informação fez-se através de análise documental.</w:t>
      </w:r>
    </w:p>
    <w:p w:rsidR="003F05D0" w:rsidRPr="00BB024D" w:rsidRDefault="003F05D0" w:rsidP="009F3FAC">
      <w:pPr>
        <w:autoSpaceDE w:val="0"/>
        <w:autoSpaceDN w:val="0"/>
        <w:adjustRightInd w:val="0"/>
        <w:spacing w:after="120" w:line="360" w:lineRule="auto"/>
        <w:jc w:val="both"/>
        <w:rPr>
          <w:rFonts w:ascii="Times New Roman" w:hAnsi="Times New Roman" w:cs="Times New Roman"/>
          <w:sz w:val="24"/>
          <w:szCs w:val="24"/>
        </w:rPr>
      </w:pPr>
    </w:p>
    <w:p w:rsidR="004D0360" w:rsidRPr="00BB024D" w:rsidRDefault="004D0360" w:rsidP="009F3FAC">
      <w:pPr>
        <w:pStyle w:val="CitaoIntensa"/>
        <w:pBdr>
          <w:bottom w:val="none" w:sz="0" w:space="0" w:color="auto"/>
        </w:pBdr>
        <w:spacing w:before="0" w:after="120" w:line="360" w:lineRule="auto"/>
        <w:ind w:left="0" w:right="0"/>
        <w:outlineLvl w:val="0"/>
        <w:rPr>
          <w:rFonts w:ascii="Times New Roman" w:hAnsi="Times New Roman" w:cs="Times New Roman"/>
          <w:i w:val="0"/>
          <w:sz w:val="24"/>
          <w:szCs w:val="24"/>
        </w:rPr>
      </w:pPr>
      <w:r w:rsidRPr="00BB024D">
        <w:rPr>
          <w:rFonts w:ascii="Times New Roman" w:hAnsi="Times New Roman" w:cs="Times New Roman"/>
          <w:i w:val="0"/>
          <w:sz w:val="24"/>
          <w:szCs w:val="24"/>
        </w:rPr>
        <w:lastRenderedPageBreak/>
        <w:t>2. Revisão da literatura</w:t>
      </w:r>
    </w:p>
    <w:p w:rsidR="00EC0B3D" w:rsidRPr="00BB024D" w:rsidRDefault="008E17E3" w:rsidP="009F3FAC">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Nesta secção tem como</w:t>
      </w:r>
      <w:r w:rsidR="00EC0B3D" w:rsidRPr="00BB024D">
        <w:rPr>
          <w:rFonts w:ascii="Times New Roman" w:hAnsi="Times New Roman" w:cs="Times New Roman"/>
          <w:sz w:val="24"/>
          <w:szCs w:val="24"/>
        </w:rPr>
        <w:t xml:space="preserve"> objetivo fazer uma abordagem do setor da economia social e da Igreja Católica</w:t>
      </w:r>
      <w:r w:rsidR="00DE1F27" w:rsidRPr="00BB024D">
        <w:rPr>
          <w:rFonts w:ascii="Times New Roman" w:hAnsi="Times New Roman" w:cs="Times New Roman"/>
          <w:sz w:val="24"/>
          <w:szCs w:val="24"/>
        </w:rPr>
        <w:t>, nomeadamente o seu enquadrament</w:t>
      </w:r>
      <w:r w:rsidR="003F05D0" w:rsidRPr="00BB024D">
        <w:rPr>
          <w:rFonts w:ascii="Times New Roman" w:hAnsi="Times New Roman" w:cs="Times New Roman"/>
          <w:sz w:val="24"/>
          <w:szCs w:val="24"/>
        </w:rPr>
        <w:t xml:space="preserve">o jurídico e contabilístico e a questão da </w:t>
      </w:r>
      <w:r w:rsidR="001134C9" w:rsidRPr="00BB024D">
        <w:rPr>
          <w:rFonts w:ascii="Times New Roman" w:hAnsi="Times New Roman" w:cs="Times New Roman"/>
          <w:sz w:val="24"/>
          <w:szCs w:val="24"/>
        </w:rPr>
        <w:t>divulgação e da transparência na prestação de contas destas entidades.</w:t>
      </w:r>
    </w:p>
    <w:p w:rsidR="001134C9" w:rsidRPr="00BB024D" w:rsidRDefault="001134C9" w:rsidP="009F3FAC">
      <w:pPr>
        <w:spacing w:after="120" w:line="360" w:lineRule="auto"/>
        <w:jc w:val="both"/>
        <w:rPr>
          <w:rFonts w:ascii="Times New Roman" w:hAnsi="Times New Roman" w:cs="Times New Roman"/>
          <w:b/>
          <w:color w:val="1F497D" w:themeColor="text2"/>
          <w:sz w:val="24"/>
          <w:szCs w:val="24"/>
        </w:rPr>
      </w:pPr>
    </w:p>
    <w:p w:rsidR="00EC0B3D" w:rsidRPr="00BB024D" w:rsidRDefault="00EC0B3D" w:rsidP="009F3FAC">
      <w:pPr>
        <w:pStyle w:val="Cabealho2"/>
        <w:spacing w:before="0" w:after="120" w:line="360" w:lineRule="auto"/>
        <w:jc w:val="both"/>
        <w:rPr>
          <w:rFonts w:ascii="Times New Roman" w:hAnsi="Times New Roman" w:cs="Times New Roman"/>
          <w:b w:val="0"/>
          <w:sz w:val="24"/>
          <w:szCs w:val="24"/>
        </w:rPr>
      </w:pPr>
      <w:bookmarkStart w:id="3" w:name="_Toc459296939"/>
      <w:r w:rsidRPr="00BB024D">
        <w:rPr>
          <w:rFonts w:ascii="Times New Roman" w:hAnsi="Times New Roman" w:cs="Times New Roman"/>
          <w:sz w:val="24"/>
          <w:szCs w:val="24"/>
        </w:rPr>
        <w:t xml:space="preserve"> </w:t>
      </w:r>
      <w:bookmarkStart w:id="4" w:name="_Toc465894236"/>
      <w:bookmarkStart w:id="5" w:name="_Toc466577174"/>
      <w:r w:rsidR="006C03A7">
        <w:rPr>
          <w:rFonts w:ascii="Times New Roman" w:hAnsi="Times New Roman" w:cs="Times New Roman"/>
          <w:sz w:val="24"/>
          <w:szCs w:val="24"/>
        </w:rPr>
        <w:t xml:space="preserve">     </w:t>
      </w:r>
      <w:r w:rsidRPr="00BB024D">
        <w:rPr>
          <w:rFonts w:ascii="Times New Roman" w:hAnsi="Times New Roman" w:cs="Times New Roman"/>
          <w:sz w:val="24"/>
          <w:szCs w:val="24"/>
        </w:rPr>
        <w:t>2.1. Conceito de economia social</w:t>
      </w:r>
      <w:bookmarkEnd w:id="3"/>
      <w:bookmarkEnd w:id="4"/>
      <w:bookmarkEnd w:id="5"/>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Numa sociedade em constante evolução, na qual surgem necessidades de realização pessoal ou coletiva aleada à imprevisibilidade e contingências do dia-a-dia dos cidadãos, surgem situações que nem sempre o Estado tem condições para as resolver com a eficiência e a humanidade necessárias. </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O conceito de economia social nasceu na Europa no século XIX, mais concretamente em 1830, na ressaca das injustiças sociais da revolução industrial, numa altura em que os trabalhadores mais desfavorecidos tentaram encontrar formas de reagir ao mercado, criando uma economia de entreajuda e de cooperação (Franco &amp; Andrade, 2007). Numa perspetiva francófona ou europeia, é reconhecida a existência de um setor de atividade económica distinto dos setores público e privado tradicional, o chamado setor da economia social (</w:t>
      </w:r>
      <w:r w:rsidRPr="00BB024D">
        <w:rPr>
          <w:rFonts w:ascii="Times New Roman" w:hAnsi="Times New Roman" w:cs="Times New Roman"/>
          <w:i/>
          <w:sz w:val="24"/>
          <w:szCs w:val="24"/>
        </w:rPr>
        <w:t>secteur d'économie sociale</w:t>
      </w:r>
      <w:r w:rsidRPr="00BB024D">
        <w:rPr>
          <w:rFonts w:ascii="Times New Roman" w:hAnsi="Times New Roman" w:cs="Times New Roman"/>
          <w:sz w:val="24"/>
          <w:szCs w:val="24"/>
        </w:rPr>
        <w:t>), sendo definido como um conjunto de entidades não pertencentes ao setor público que, com gestão e funcionamento democráticos e igualdade de direitos e deveres dos seus sócios, têm um regime especial de propriedade e de distribuição de resultados, aplicando os excedentes do exercício no crescimento da entidade e na melhoria dos serviços a sócios e às sociedades (Santos, Raimundo &amp; Lima, 2012).</w:t>
      </w:r>
    </w:p>
    <w:p w:rsidR="00EC0B3D" w:rsidRPr="00BB024D" w:rsidRDefault="00123EEB"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E</w:t>
      </w:r>
      <w:r w:rsidR="00EC0B3D" w:rsidRPr="00BB024D">
        <w:rPr>
          <w:rFonts w:ascii="Times New Roman" w:hAnsi="Times New Roman" w:cs="Times New Roman"/>
          <w:sz w:val="24"/>
          <w:szCs w:val="24"/>
        </w:rPr>
        <w:t>m Portugal foi utilizada na Conta Satélite da Economia Social (CSES) a definição operacional proposta pelo Centro Internacional de Pesquisa e Informação sobre Economia Pública, Social e Cooperativa (CIRIEC). É, de todo, a que melhor se adapta ao sistema de contabilidade nacional, aos princípios e aos valores da economia social. Recentemente, Portugal viu consolidado o conceito de economia social (Meira, 2013) através da publicação da Lei de Bases da Economia Social (LBES), aprovada pela Lei n.º 30/2013 de 8 de maio.</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Nos termos do n.º 1 do artigo 2.º entende-se por economia social “</w:t>
      </w:r>
      <w:r w:rsidRPr="00BB024D">
        <w:rPr>
          <w:rFonts w:ascii="Times New Roman" w:hAnsi="Times New Roman" w:cs="Times New Roman"/>
          <w:i/>
          <w:sz w:val="24"/>
          <w:szCs w:val="24"/>
        </w:rPr>
        <w:t>o conjunto das atividades económico-sociais, livremente levadas a cabo por entidades referidas no art.º 4.º da LBES</w:t>
      </w:r>
      <w:r w:rsidRPr="00BB024D">
        <w:rPr>
          <w:rFonts w:ascii="Times New Roman" w:hAnsi="Times New Roman" w:cs="Times New Roman"/>
          <w:sz w:val="24"/>
          <w:szCs w:val="24"/>
        </w:rPr>
        <w:t>.”</w:t>
      </w:r>
    </w:p>
    <w:p w:rsidR="00EC0B3D" w:rsidRPr="00BB024D" w:rsidRDefault="00EC0B3D" w:rsidP="009F3FAC">
      <w:pPr>
        <w:spacing w:after="120" w:line="360" w:lineRule="auto"/>
        <w:jc w:val="both"/>
        <w:rPr>
          <w:rFonts w:ascii="Times New Roman" w:hAnsi="Times New Roman" w:cs="Times New Roman"/>
          <w:i/>
          <w:sz w:val="24"/>
          <w:szCs w:val="24"/>
        </w:rPr>
      </w:pPr>
      <w:r w:rsidRPr="00BB024D">
        <w:rPr>
          <w:rFonts w:ascii="Times New Roman" w:hAnsi="Times New Roman" w:cs="Times New Roman"/>
          <w:sz w:val="24"/>
          <w:szCs w:val="24"/>
        </w:rPr>
        <w:t xml:space="preserve">As entidades que compõem a economia social </w:t>
      </w:r>
      <w:r w:rsidR="00123EEB" w:rsidRPr="00BB024D">
        <w:rPr>
          <w:rFonts w:ascii="Times New Roman" w:hAnsi="Times New Roman" w:cs="Times New Roman"/>
          <w:sz w:val="24"/>
          <w:szCs w:val="24"/>
        </w:rPr>
        <w:t xml:space="preserve">são várias e estão </w:t>
      </w:r>
      <w:r w:rsidRPr="00BB024D">
        <w:rPr>
          <w:rFonts w:ascii="Times New Roman" w:hAnsi="Times New Roman" w:cs="Times New Roman"/>
          <w:sz w:val="24"/>
          <w:szCs w:val="24"/>
        </w:rPr>
        <w:t>enumeradas no art</w:t>
      </w:r>
      <w:r w:rsidRPr="00BB024D">
        <w:rPr>
          <w:rFonts w:ascii="Times New Roman" w:hAnsi="Times New Roman" w:cs="Times New Roman"/>
          <w:color w:val="000000"/>
          <w:sz w:val="24"/>
          <w:szCs w:val="24"/>
        </w:rPr>
        <w:t>.4º da LBES</w:t>
      </w:r>
      <w:r w:rsidR="00123EEB" w:rsidRPr="00BB024D">
        <w:rPr>
          <w:rFonts w:ascii="Times New Roman" w:hAnsi="Times New Roman" w:cs="Times New Roman"/>
          <w:color w:val="000000"/>
          <w:sz w:val="24"/>
          <w:szCs w:val="24"/>
        </w:rPr>
        <w:t xml:space="preserve">, nomeadamente: as associações, as fundações, as cooperativas, as mutualidades, as </w:t>
      </w:r>
      <w:r w:rsidR="00123EEB" w:rsidRPr="00BB024D">
        <w:rPr>
          <w:rFonts w:ascii="Times New Roman" w:hAnsi="Times New Roman" w:cs="Times New Roman"/>
          <w:color w:val="000000"/>
          <w:sz w:val="24"/>
          <w:szCs w:val="24"/>
        </w:rPr>
        <w:lastRenderedPageBreak/>
        <w:t>misericórdias, as Instituições Particulares de Solidariedade Social e outras entidades sem finalidades lucrativas</w:t>
      </w:r>
      <w:r w:rsidRPr="00BB024D">
        <w:rPr>
          <w:rFonts w:ascii="Times New Roman" w:hAnsi="Times New Roman" w:cs="Times New Roman"/>
          <w:color w:val="000000"/>
          <w:sz w:val="24"/>
          <w:szCs w:val="24"/>
        </w:rPr>
        <w:t>. Estas entidades assumem um papel importante no desenvolvimento da economia social, através de atividades de cariz económico-social, prosseguindo o interesse geral dos seus membros, utilizadores e beneficiários (n.º 2 do art.º 2º da LBES)</w:t>
      </w:r>
      <w:r w:rsidR="00737251" w:rsidRPr="00BB024D">
        <w:rPr>
          <w:rFonts w:ascii="Times New Roman" w:hAnsi="Times New Roman" w:cs="Times New Roman"/>
          <w:color w:val="000000"/>
          <w:sz w:val="24"/>
          <w:szCs w:val="24"/>
        </w:rPr>
        <w:t>, vinculadas a um conjunto de princípios orientadores previstos no art.º 5º da LBES</w:t>
      </w:r>
    </w:p>
    <w:p w:rsidR="00EC0B3D" w:rsidRPr="00BB024D" w:rsidRDefault="00EC0B3D" w:rsidP="009F3FAC">
      <w:pPr>
        <w:autoSpaceDE w:val="0"/>
        <w:autoSpaceDN w:val="0"/>
        <w:adjustRightInd w:val="0"/>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Os princípios orientadores complementam a delimitação do conceito de economia social. Segundo Meira (2013), estes princípios orientadores sofreram uma influência notória dos valores e princípios cooperativos. Por outro lado, a autora destaca a ênfase que a LBES colocou na autonomia destas entidades e na gestão autónoma das mesmas, considerando que neste caso se pretende realçar que estas entidades têm uma personalidade jurídica própria e distinta de cada um dos seus membros. Esta autonomia pretende assegurar que a entrada de capitais de fontes externas não põe em causa, nem a independência, nem o controlo democrático destas entidades pelos seus membros, o que é particularmente relevante, se tivermos em consideração que muitas destas entidades necessitam de fundos externos, públicos ou privados, para o desenvolvimento das suas atividades.</w:t>
      </w:r>
    </w:p>
    <w:p w:rsidR="00EC0B3D" w:rsidRPr="00BB024D" w:rsidRDefault="00EC0B3D" w:rsidP="009F3FAC">
      <w:pPr>
        <w:autoSpaceDE w:val="0"/>
        <w:autoSpaceDN w:val="0"/>
        <w:adjustRightInd w:val="0"/>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Para além das entidades mencionadas nas alíneas a) a g) do art.º 4.º da LBES, encontram-se na alínea h) do mesmo artigo as entidades da economia social “por concessão”, ou seja, possibilidade de outras entidades dotadas de personalidade jurídica e constantes da base de dados da economia social virem a integrar o setor da economia social, desde que sejam observados os princípios orientadores da economia social (Meira, 2013).</w:t>
      </w:r>
    </w:p>
    <w:p w:rsidR="00C55337" w:rsidRPr="00BB024D" w:rsidRDefault="00C55337" w:rsidP="009F3FAC">
      <w:pPr>
        <w:spacing w:after="120" w:line="360" w:lineRule="auto"/>
        <w:jc w:val="both"/>
        <w:rPr>
          <w:rFonts w:ascii="Times New Roman" w:hAnsi="Times New Roman" w:cs="Times New Roman"/>
          <w:sz w:val="24"/>
          <w:szCs w:val="24"/>
        </w:rPr>
      </w:pPr>
    </w:p>
    <w:p w:rsidR="00EC0B3D" w:rsidRPr="00BB024D" w:rsidRDefault="00EC0B3D" w:rsidP="009F3FAC">
      <w:pPr>
        <w:pStyle w:val="Cabealho2"/>
        <w:spacing w:before="0" w:after="120" w:line="360" w:lineRule="auto"/>
        <w:jc w:val="both"/>
        <w:rPr>
          <w:rFonts w:ascii="Times New Roman" w:hAnsi="Times New Roman" w:cs="Times New Roman"/>
          <w:b w:val="0"/>
          <w:sz w:val="24"/>
          <w:szCs w:val="24"/>
        </w:rPr>
      </w:pPr>
      <w:bookmarkStart w:id="6" w:name="_Toc459296943"/>
      <w:r w:rsidRPr="00BB024D">
        <w:rPr>
          <w:rFonts w:ascii="Times New Roman" w:hAnsi="Times New Roman" w:cs="Times New Roman"/>
          <w:sz w:val="24"/>
          <w:szCs w:val="24"/>
        </w:rPr>
        <w:t xml:space="preserve">      </w:t>
      </w:r>
      <w:bookmarkStart w:id="7" w:name="_Toc465894240"/>
      <w:bookmarkStart w:id="8" w:name="_Toc466577178"/>
      <w:r w:rsidR="001134C9" w:rsidRPr="00BB024D">
        <w:rPr>
          <w:rFonts w:ascii="Times New Roman" w:hAnsi="Times New Roman" w:cs="Times New Roman"/>
          <w:sz w:val="24"/>
          <w:szCs w:val="24"/>
        </w:rPr>
        <w:t>2</w:t>
      </w:r>
      <w:r w:rsidR="004D284C" w:rsidRPr="00BB024D">
        <w:rPr>
          <w:rFonts w:ascii="Times New Roman" w:hAnsi="Times New Roman" w:cs="Times New Roman"/>
          <w:sz w:val="24"/>
          <w:szCs w:val="24"/>
        </w:rPr>
        <w:t>.2</w:t>
      </w:r>
      <w:r w:rsidRPr="00BB024D">
        <w:rPr>
          <w:rFonts w:ascii="Times New Roman" w:hAnsi="Times New Roman" w:cs="Times New Roman"/>
          <w:sz w:val="24"/>
          <w:szCs w:val="24"/>
        </w:rPr>
        <w:t>. As instituições religiosas na economia social</w:t>
      </w:r>
      <w:bookmarkEnd w:id="6"/>
      <w:bookmarkEnd w:id="7"/>
      <w:bookmarkEnd w:id="8"/>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 emergência e o desenvolvimento da economia social, em Portugal sofreram uma forte influência da Igreja Católica que teve um impacto na sociedade civil tanto a nível espiritual como institucional (Silva, Santos, Mota &amp; Martín, 2014). Neste contexto surgiram as misericórdias, que estabeleceram uma forte base de instituições sociais não lucrativas que ainda hoje persiste. A Igreja desenvolveu a sua ação em iniciativas de carater social e na área da saúde, preconizando também iniciativas na área educativa (Ferreira, 2012).</w:t>
      </w:r>
    </w:p>
    <w:p w:rsidR="00EC0B3D" w:rsidRPr="00BB024D" w:rsidRDefault="00EC0B3D" w:rsidP="009F3FAC">
      <w:pPr>
        <w:spacing w:after="120" w:line="360" w:lineRule="auto"/>
        <w:jc w:val="both"/>
        <w:rPr>
          <w:rFonts w:ascii="Times New Roman" w:hAnsi="Times New Roman" w:cs="Times New Roman"/>
          <w:b/>
          <w:color w:val="1F497D" w:themeColor="text2"/>
          <w:sz w:val="24"/>
          <w:szCs w:val="24"/>
        </w:rPr>
      </w:pPr>
      <w:r w:rsidRPr="00BB024D">
        <w:rPr>
          <w:rFonts w:ascii="Times New Roman" w:hAnsi="Times New Roman" w:cs="Times New Roman"/>
          <w:sz w:val="24"/>
          <w:szCs w:val="24"/>
        </w:rPr>
        <w:t>Entretanto, para além da Igreja Católica, foram surgindo em Portugal outras confissões religiosas que passaram elas próprias a ter também um papel importante neste setor.</w:t>
      </w:r>
      <w:r w:rsidR="00737251" w:rsidRPr="00BB024D">
        <w:rPr>
          <w:rFonts w:ascii="Times New Roman" w:hAnsi="Times New Roman" w:cs="Times New Roman"/>
          <w:sz w:val="24"/>
          <w:szCs w:val="24"/>
        </w:rPr>
        <w:t xml:space="preserve"> </w:t>
      </w:r>
    </w:p>
    <w:p w:rsidR="00210D28" w:rsidRDefault="00210D28" w:rsidP="009F3FAC">
      <w:pPr>
        <w:spacing w:after="120" w:line="360" w:lineRule="auto"/>
        <w:jc w:val="both"/>
        <w:rPr>
          <w:rFonts w:ascii="Times New Roman" w:hAnsi="Times New Roman" w:cs="Times New Roman"/>
          <w:sz w:val="24"/>
          <w:szCs w:val="24"/>
        </w:rPr>
      </w:pPr>
      <w:r w:rsidRPr="00AA5E74">
        <w:rPr>
          <w:rFonts w:ascii="Times New Roman" w:hAnsi="Times New Roman" w:cs="Times New Roman"/>
          <w:sz w:val="24"/>
          <w:szCs w:val="24"/>
        </w:rPr>
        <w:t>A Constituição da Republica Portuguesa (CRP), no n.º 1 do art.º 41.º prevê a liberdade de consciência, de religião e de culto e no n.º 4 do mesmo artigo dispõe que “</w:t>
      </w:r>
      <w:r w:rsidRPr="00AA5E74">
        <w:rPr>
          <w:rFonts w:ascii="Times New Roman" w:hAnsi="Times New Roman" w:cs="Times New Roman"/>
          <w:i/>
          <w:sz w:val="24"/>
          <w:szCs w:val="24"/>
        </w:rPr>
        <w:t xml:space="preserve">as igrejas e outras </w:t>
      </w:r>
      <w:r w:rsidRPr="00AA5E74">
        <w:rPr>
          <w:rFonts w:ascii="Times New Roman" w:hAnsi="Times New Roman" w:cs="Times New Roman"/>
          <w:i/>
          <w:sz w:val="24"/>
          <w:szCs w:val="24"/>
        </w:rPr>
        <w:lastRenderedPageBreak/>
        <w:t>comunidades religiosas estão separadas do Estado e são livres na sua organização e no exercício das suas funções de culto”</w:t>
      </w:r>
      <w:r w:rsidRPr="00AA5E74">
        <w:rPr>
          <w:rFonts w:ascii="Times New Roman" w:hAnsi="Times New Roman" w:cs="Times New Roman"/>
          <w:sz w:val="24"/>
          <w:szCs w:val="24"/>
        </w:rPr>
        <w:t xml:space="preserve">. </w:t>
      </w:r>
      <w:r w:rsidRPr="00AA5E74">
        <w:rPr>
          <w:rFonts w:ascii="Times New Roman" w:hAnsi="Times New Roman" w:cs="Times New Roman"/>
          <w:color w:val="000000"/>
          <w:sz w:val="24"/>
          <w:szCs w:val="24"/>
        </w:rPr>
        <w:t>A CRP reconhece ainda, no seu n.º 4 do art.º 41.º a separação das igrejas e outras comunidades, do Estado, sendo estas livres de se organizarem e exercerem as suas funções e culto.</w:t>
      </w:r>
    </w:p>
    <w:p w:rsidR="006F607C"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O impacto que estas instituições representam na economia nacional e no setor da economia social é significativo</w:t>
      </w:r>
      <w:r w:rsidR="00737251" w:rsidRPr="00BB024D">
        <w:rPr>
          <w:rFonts w:ascii="Times New Roman" w:hAnsi="Times New Roman" w:cs="Times New Roman"/>
          <w:sz w:val="24"/>
          <w:szCs w:val="24"/>
        </w:rPr>
        <w:t xml:space="preserve">, representando cerca de 13,9% do Valor Acrescentado Bruto </w:t>
      </w:r>
      <w:r w:rsidR="006F607C" w:rsidRPr="00BB024D">
        <w:rPr>
          <w:rFonts w:ascii="Times New Roman" w:hAnsi="Times New Roman" w:cs="Times New Roman"/>
          <w:sz w:val="24"/>
          <w:szCs w:val="24"/>
        </w:rPr>
        <w:t>produzido pelas Associações e outras organizações da Economia Social.</w:t>
      </w:r>
    </w:p>
    <w:p w:rsidR="00210D28" w:rsidRDefault="00EC0B3D" w:rsidP="009F3FAC">
      <w:pPr>
        <w:pStyle w:val="Cabealho2"/>
        <w:spacing w:before="0" w:after="120" w:line="360" w:lineRule="auto"/>
        <w:jc w:val="both"/>
        <w:rPr>
          <w:rFonts w:ascii="Times New Roman" w:hAnsi="Times New Roman" w:cs="Times New Roman"/>
          <w:sz w:val="24"/>
          <w:szCs w:val="24"/>
        </w:rPr>
      </w:pPr>
      <w:bookmarkStart w:id="9" w:name="_Toc459296944"/>
      <w:r w:rsidRPr="00BB024D">
        <w:rPr>
          <w:rFonts w:ascii="Times New Roman" w:hAnsi="Times New Roman" w:cs="Times New Roman"/>
          <w:sz w:val="24"/>
          <w:szCs w:val="24"/>
        </w:rPr>
        <w:t xml:space="preserve">     </w:t>
      </w:r>
    </w:p>
    <w:p w:rsidR="00EC0B3D" w:rsidRPr="00BB024D" w:rsidRDefault="00EC0B3D" w:rsidP="009F3FAC">
      <w:pPr>
        <w:pStyle w:val="Cabealho2"/>
        <w:spacing w:before="0" w:after="120" w:line="360" w:lineRule="auto"/>
        <w:jc w:val="both"/>
        <w:rPr>
          <w:rFonts w:ascii="Times New Roman" w:hAnsi="Times New Roman" w:cs="Times New Roman"/>
          <w:b w:val="0"/>
          <w:sz w:val="24"/>
          <w:szCs w:val="24"/>
        </w:rPr>
      </w:pPr>
      <w:r w:rsidRPr="00BB024D">
        <w:rPr>
          <w:rFonts w:ascii="Times New Roman" w:hAnsi="Times New Roman" w:cs="Times New Roman"/>
          <w:sz w:val="24"/>
          <w:szCs w:val="24"/>
        </w:rPr>
        <w:t xml:space="preserve"> </w:t>
      </w:r>
      <w:bookmarkStart w:id="10" w:name="_Toc465894241"/>
      <w:bookmarkStart w:id="11" w:name="_Toc466577179"/>
      <w:r w:rsidR="006C03A7">
        <w:rPr>
          <w:rFonts w:ascii="Times New Roman" w:hAnsi="Times New Roman" w:cs="Times New Roman"/>
          <w:sz w:val="24"/>
          <w:szCs w:val="24"/>
        </w:rPr>
        <w:t xml:space="preserve">     </w:t>
      </w:r>
      <w:r w:rsidR="001134C9" w:rsidRPr="00BB024D">
        <w:rPr>
          <w:rFonts w:ascii="Times New Roman" w:hAnsi="Times New Roman" w:cs="Times New Roman"/>
          <w:sz w:val="24"/>
          <w:szCs w:val="24"/>
        </w:rPr>
        <w:t>2</w:t>
      </w:r>
      <w:r w:rsidR="004D284C" w:rsidRPr="00BB024D">
        <w:rPr>
          <w:rFonts w:ascii="Times New Roman" w:hAnsi="Times New Roman" w:cs="Times New Roman"/>
          <w:sz w:val="24"/>
          <w:szCs w:val="24"/>
        </w:rPr>
        <w:t>.3</w:t>
      </w:r>
      <w:r w:rsidRPr="00BB024D">
        <w:rPr>
          <w:rFonts w:ascii="Times New Roman" w:hAnsi="Times New Roman" w:cs="Times New Roman"/>
          <w:sz w:val="24"/>
          <w:szCs w:val="24"/>
        </w:rPr>
        <w:t>. A Igreja Católica</w:t>
      </w:r>
      <w:bookmarkEnd w:id="9"/>
      <w:bookmarkEnd w:id="10"/>
      <w:bookmarkEnd w:id="11"/>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 Igreja Católica é uma organização religiosa, também chamada de Igreja Católica Romana, que professa a religião cristã no mundo a partir dos ensinamentos de Jesus Cristo. A sua fundação remonta a cerca de dois mil anos quando através destas palavras “</w:t>
      </w:r>
      <w:r w:rsidRPr="00BB024D">
        <w:rPr>
          <w:rFonts w:ascii="Times New Roman" w:hAnsi="Times New Roman" w:cs="Times New Roman"/>
          <w:i/>
          <w:sz w:val="24"/>
          <w:szCs w:val="24"/>
        </w:rPr>
        <w:t>Tu és Pedro e sobre esta pedra edificarei a minha igreja”</w:t>
      </w:r>
      <w:r w:rsidRPr="00BB024D">
        <w:rPr>
          <w:rFonts w:ascii="Times New Roman" w:hAnsi="Times New Roman" w:cs="Times New Roman"/>
          <w:sz w:val="24"/>
          <w:szCs w:val="24"/>
        </w:rPr>
        <w:t xml:space="preserve"> (Mateus, 16:18, 2009) Jesus investiu Simão um pescador da Galileia como chefe dos Apóstolos. A diferença entre esta cerimónia simples e a Igreja dos nossos dias é tão grande que Pedro teria dificuldade em a compreender (Reese, 1998). Está sob autoridade suprema do Papa, Bispo de Roma e sucessor do Apóstolo São Pedro e é regida pelo Código de Direito Canónico (CDC). </w:t>
      </w:r>
    </w:p>
    <w:p w:rsidR="006F607C"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A Igreja Católica tem uma estrutura hierárquica muito bem definida. De acordo com os n.º 874 a 877 e n.º 934 a 945 do Catecismo da Igreja Católica (CIC), publicado pela Constituição Apostólica do Sumo Pontífice João Paulo II </w:t>
      </w:r>
      <w:r w:rsidRPr="00BB024D">
        <w:rPr>
          <w:rFonts w:ascii="Times New Roman" w:hAnsi="Times New Roman" w:cs="Times New Roman"/>
          <w:i/>
          <w:sz w:val="24"/>
          <w:szCs w:val="24"/>
        </w:rPr>
        <w:t>Fidei Depósitum</w:t>
      </w:r>
      <w:r w:rsidRPr="00BB024D">
        <w:rPr>
          <w:rFonts w:ascii="Times New Roman" w:hAnsi="Times New Roman" w:cs="Times New Roman"/>
          <w:sz w:val="24"/>
          <w:szCs w:val="24"/>
        </w:rPr>
        <w:t xml:space="preserve"> em 11 de outubro de 1992</w:t>
      </w:r>
      <w:r w:rsidR="006F607C" w:rsidRPr="00BB024D">
        <w:rPr>
          <w:rFonts w:ascii="Times New Roman" w:hAnsi="Times New Roman" w:cs="Times New Roman"/>
          <w:sz w:val="24"/>
          <w:szCs w:val="24"/>
        </w:rPr>
        <w:t>, a Igreja Católica está organizada hierarquicamente da seguinte forma: Papa, Bispos, que podem ser Arcebispos ou Cardeais</w:t>
      </w:r>
      <w:r w:rsidRPr="00BB024D">
        <w:rPr>
          <w:rFonts w:ascii="Times New Roman" w:hAnsi="Times New Roman" w:cs="Times New Roman"/>
          <w:sz w:val="24"/>
          <w:szCs w:val="24"/>
        </w:rPr>
        <w:t xml:space="preserve">, </w:t>
      </w:r>
      <w:r w:rsidR="006F607C" w:rsidRPr="00BB024D">
        <w:rPr>
          <w:rFonts w:ascii="Times New Roman" w:hAnsi="Times New Roman" w:cs="Times New Roman"/>
          <w:sz w:val="24"/>
          <w:szCs w:val="24"/>
        </w:rPr>
        <w:t>Padres, Diáconos e Leigos.</w:t>
      </w:r>
    </w:p>
    <w:p w:rsidR="00862941"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Da mesma forma que existe uma hierarquia no clero, também existe uma estrutura organizacional na Igreja Católica que é definida em função da territorialidade, </w:t>
      </w:r>
      <w:r w:rsidR="00862941" w:rsidRPr="00BB024D">
        <w:rPr>
          <w:rFonts w:ascii="Times New Roman" w:hAnsi="Times New Roman" w:cs="Times New Roman"/>
          <w:sz w:val="24"/>
          <w:szCs w:val="24"/>
        </w:rPr>
        <w:t>que de acordo com as estruturas institucionais portuguesas se encontra organizada da seguinte forma: Santa Sé, Conferência Episcopal Portuguesa, Arquidioceses, Dioceses e Paróquias.</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Existem atualmente em Portugal, vinte e uma dioceses, agrupadas </w:t>
      </w:r>
      <w:r w:rsidR="00862941" w:rsidRPr="00BB024D">
        <w:rPr>
          <w:rFonts w:ascii="Times New Roman" w:hAnsi="Times New Roman" w:cs="Times New Roman"/>
          <w:sz w:val="24"/>
          <w:szCs w:val="24"/>
        </w:rPr>
        <w:t xml:space="preserve">em </w:t>
      </w:r>
      <w:r w:rsidRPr="00BB024D">
        <w:rPr>
          <w:rFonts w:ascii="Times New Roman" w:hAnsi="Times New Roman" w:cs="Times New Roman"/>
          <w:sz w:val="24"/>
          <w:szCs w:val="24"/>
        </w:rPr>
        <w:t>três províncias eclesiásticas</w:t>
      </w:r>
      <w:r w:rsidR="00862941" w:rsidRPr="00BB024D">
        <w:rPr>
          <w:rFonts w:ascii="Times New Roman" w:hAnsi="Times New Roman" w:cs="Times New Roman"/>
          <w:sz w:val="24"/>
          <w:szCs w:val="24"/>
        </w:rPr>
        <w:t>, Braga, Lisboa e Évora</w:t>
      </w:r>
      <w:r w:rsidRPr="00BB024D">
        <w:rPr>
          <w:rFonts w:ascii="Times New Roman" w:hAnsi="Times New Roman" w:cs="Times New Roman"/>
          <w:sz w:val="24"/>
          <w:szCs w:val="24"/>
        </w:rPr>
        <w:t xml:space="preserve">. Contudo apenas vinte são territoriais, ou seja, têm paróquias a seu cargo. O Ordinariato Castrense de Portugal, também conhecido por Ordinariato Militar para Portugal ou por Diocese das Forças Armadas e das Forças de Segurança, é uma instituição canónica que organiza e acompanha espiritualmente, segundo critérios semelhantes aos das restantes dioceses, os fiéis católicos presentes no setor militar e </w:t>
      </w:r>
      <w:r w:rsidRPr="00BB024D">
        <w:rPr>
          <w:rFonts w:ascii="Times New Roman" w:hAnsi="Times New Roman" w:cs="Times New Roman"/>
          <w:sz w:val="24"/>
          <w:szCs w:val="24"/>
        </w:rPr>
        <w:lastRenderedPageBreak/>
        <w:t>policial, nomeadamente, todos os ramos das Forças Armadas, a Guarda Nacional Republicana e a Policia de Segurança Pública.</w:t>
      </w:r>
    </w:p>
    <w:p w:rsidR="00862941" w:rsidRPr="00BB024D" w:rsidRDefault="00862941"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Relativamente às </w:t>
      </w:r>
      <w:r w:rsidR="00EC0B3D" w:rsidRPr="00BB024D">
        <w:rPr>
          <w:rFonts w:ascii="Times New Roman" w:hAnsi="Times New Roman" w:cs="Times New Roman"/>
          <w:sz w:val="24"/>
          <w:szCs w:val="24"/>
        </w:rPr>
        <w:t xml:space="preserve">Paróquias, de acordo com o cân. n.º 515 do CDC, </w:t>
      </w:r>
      <w:r w:rsidRPr="00BB024D">
        <w:rPr>
          <w:rFonts w:ascii="Times New Roman" w:hAnsi="Times New Roman" w:cs="Times New Roman"/>
          <w:sz w:val="24"/>
          <w:szCs w:val="24"/>
        </w:rPr>
        <w:t xml:space="preserve">estas </w:t>
      </w:r>
      <w:r w:rsidR="00EC0B3D" w:rsidRPr="00BB024D">
        <w:rPr>
          <w:rFonts w:ascii="Times New Roman" w:hAnsi="Times New Roman" w:cs="Times New Roman"/>
          <w:sz w:val="24"/>
          <w:szCs w:val="24"/>
        </w:rPr>
        <w:t>são comunidades de fiéis, constituídas estavelmente no contexto de uma diocese e confiadas ao pároco como seu próprio pastor. As paróquias existentes em Portugal são 4373 distribuídas por diversas dioceses</w:t>
      </w:r>
      <w:r w:rsidRPr="00BB024D">
        <w:rPr>
          <w:rFonts w:ascii="Times New Roman" w:hAnsi="Times New Roman" w:cs="Times New Roman"/>
          <w:sz w:val="24"/>
          <w:szCs w:val="24"/>
        </w:rPr>
        <w:t>.</w:t>
      </w:r>
    </w:p>
    <w:p w:rsidR="00862941" w:rsidRPr="00BB024D" w:rsidRDefault="00862941" w:rsidP="009F3FAC">
      <w:pPr>
        <w:spacing w:after="120" w:line="360" w:lineRule="auto"/>
        <w:jc w:val="both"/>
        <w:rPr>
          <w:rFonts w:ascii="Times New Roman" w:hAnsi="Times New Roman" w:cs="Times New Roman"/>
          <w:sz w:val="24"/>
          <w:szCs w:val="24"/>
        </w:rPr>
      </w:pPr>
    </w:p>
    <w:p w:rsidR="00EC0B3D" w:rsidRPr="00BB024D" w:rsidRDefault="00EC0B3D" w:rsidP="009F3FAC">
      <w:pPr>
        <w:pStyle w:val="Cabealho2"/>
        <w:spacing w:before="0" w:after="120" w:line="360" w:lineRule="auto"/>
        <w:jc w:val="both"/>
        <w:rPr>
          <w:rFonts w:ascii="Times New Roman" w:hAnsi="Times New Roman" w:cs="Times New Roman"/>
          <w:b w:val="0"/>
          <w:sz w:val="24"/>
          <w:szCs w:val="24"/>
        </w:rPr>
      </w:pPr>
      <w:r w:rsidRPr="00BB024D">
        <w:rPr>
          <w:rFonts w:ascii="Times New Roman" w:hAnsi="Times New Roman" w:cs="Times New Roman"/>
          <w:sz w:val="24"/>
          <w:szCs w:val="24"/>
        </w:rPr>
        <w:t xml:space="preserve">      </w:t>
      </w:r>
      <w:bookmarkStart w:id="12" w:name="_Toc465894243"/>
      <w:bookmarkStart w:id="13" w:name="_Toc466577181"/>
      <w:r w:rsidR="001134C9" w:rsidRPr="00BB024D">
        <w:rPr>
          <w:rFonts w:ascii="Times New Roman" w:hAnsi="Times New Roman" w:cs="Times New Roman"/>
          <w:sz w:val="24"/>
          <w:szCs w:val="24"/>
        </w:rPr>
        <w:t>2</w:t>
      </w:r>
      <w:r w:rsidRPr="00BB024D">
        <w:rPr>
          <w:rFonts w:ascii="Times New Roman" w:hAnsi="Times New Roman" w:cs="Times New Roman"/>
          <w:sz w:val="24"/>
          <w:szCs w:val="24"/>
        </w:rPr>
        <w:t>.</w:t>
      </w:r>
      <w:r w:rsidR="004D284C" w:rsidRPr="00BB024D">
        <w:rPr>
          <w:rFonts w:ascii="Times New Roman" w:hAnsi="Times New Roman" w:cs="Times New Roman"/>
          <w:sz w:val="24"/>
          <w:szCs w:val="24"/>
        </w:rPr>
        <w:t>4</w:t>
      </w:r>
      <w:r w:rsidRPr="00BB024D">
        <w:rPr>
          <w:rFonts w:ascii="Times New Roman" w:hAnsi="Times New Roman" w:cs="Times New Roman"/>
          <w:sz w:val="24"/>
          <w:szCs w:val="24"/>
        </w:rPr>
        <w:t>. Enquadramento jurídico da Igreja Católica</w:t>
      </w:r>
      <w:bookmarkEnd w:id="12"/>
      <w:bookmarkEnd w:id="13"/>
      <w:r w:rsidR="008874AE" w:rsidRPr="00BB024D">
        <w:rPr>
          <w:rFonts w:ascii="Times New Roman" w:hAnsi="Times New Roman" w:cs="Times New Roman"/>
          <w:sz w:val="24"/>
          <w:szCs w:val="24"/>
        </w:rPr>
        <w:t xml:space="preserve"> e das paróquias</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Segundo Madaleno (2013), o Direito Canónico é a lei da Igreja Católica, um conjunto de normas que regulam a vida na comunidade eclesial. Leite (1998) complementa esta definição ao dizer que, é um conjunto de normas jurídicas aprovadas pela autoridade eclesiástica com o objetivo de regular as matérias da competência da Igreja.</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Segundo o n.º 1 do cân. n.º 113.º do CDC “</w:t>
      </w:r>
      <w:r w:rsidRPr="00BB024D">
        <w:rPr>
          <w:rFonts w:ascii="Times New Roman" w:hAnsi="Times New Roman" w:cs="Times New Roman"/>
          <w:i/>
          <w:sz w:val="24"/>
          <w:szCs w:val="24"/>
        </w:rPr>
        <w:t>a Igreja Católica e a Sé Apostólica têm a natureza de pessoa moral por própria ordenação divina</w:t>
      </w:r>
      <w:r w:rsidRPr="00BB024D">
        <w:rPr>
          <w:rFonts w:ascii="Times New Roman" w:hAnsi="Times New Roman" w:cs="Times New Roman"/>
          <w:sz w:val="24"/>
          <w:szCs w:val="24"/>
        </w:rPr>
        <w:t xml:space="preserve">” e o n.º 2 do mesmo cânone esclarece que </w:t>
      </w:r>
      <w:r w:rsidRPr="00BB024D">
        <w:rPr>
          <w:rFonts w:ascii="Times New Roman" w:hAnsi="Times New Roman" w:cs="Times New Roman"/>
          <w:i/>
          <w:sz w:val="24"/>
          <w:szCs w:val="24"/>
        </w:rPr>
        <w:t>“na Igreja, além das pessoas físicas, há também pessoas jurídicas, ou seja sujeitos em direito canónico de obrigações e de direitos consentâneos com a sua índole”</w:t>
      </w:r>
      <w:r w:rsidRPr="00BB024D">
        <w:rPr>
          <w:rFonts w:ascii="Times New Roman" w:hAnsi="Times New Roman" w:cs="Times New Roman"/>
          <w:sz w:val="24"/>
          <w:szCs w:val="24"/>
        </w:rPr>
        <w:t>.</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 Santa Sé está dotada de personalidade jurídica de direito internacional e mantém relações diplomáticas com a maioria dos países</w:t>
      </w:r>
      <w:r w:rsidR="003F05D0" w:rsidRPr="00BB024D">
        <w:rPr>
          <w:rFonts w:ascii="Times New Roman" w:hAnsi="Times New Roman" w:cs="Times New Roman"/>
          <w:sz w:val="24"/>
          <w:szCs w:val="24"/>
        </w:rPr>
        <w:t xml:space="preserve">. </w:t>
      </w:r>
      <w:r w:rsidRPr="00BB024D">
        <w:rPr>
          <w:rFonts w:ascii="Times New Roman" w:hAnsi="Times New Roman" w:cs="Times New Roman"/>
          <w:sz w:val="24"/>
          <w:szCs w:val="24"/>
        </w:rPr>
        <w:t>Portugal e a Santa Sé mantêm relações diplomáticas</w:t>
      </w:r>
      <w:r w:rsidR="003F05D0" w:rsidRPr="00BB024D">
        <w:rPr>
          <w:rFonts w:ascii="Times New Roman" w:hAnsi="Times New Roman" w:cs="Times New Roman"/>
          <w:sz w:val="24"/>
          <w:szCs w:val="24"/>
        </w:rPr>
        <w:t xml:space="preserve"> tendo sido </w:t>
      </w:r>
      <w:r w:rsidRPr="00BB024D">
        <w:rPr>
          <w:rFonts w:ascii="Times New Roman" w:hAnsi="Times New Roman" w:cs="Times New Roman"/>
          <w:sz w:val="24"/>
          <w:szCs w:val="24"/>
        </w:rPr>
        <w:t>celebrada, em maio de 1940, uma convenção – Concordata - que reconhecia e garantia a liberdade da Igreja e salvaguardava os legítimos interesses da nação portuguesa. Contudo, em virtude das alterações ocorridas tanto a nível nacional como internacional, de modo particular no que se refere ao ordenamento jurídico português, foi necessário proceder à sua atualização, obrigando à celebração de uma nova concordata (NC) em 18 de maio de 2004.</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Juridicamente, as paróquias abrangem duas realidades totalmente distintas. Por um lado, desenvolvem a sua atividade religiosa normal, sendo, neste caso, regidas pelo direito canónico. Por outro, lado podem desenvolver atividades com fins diversos dos religiosos estando sujeitas ao cumprimento das regras impostas pelo direito interno tal como qualquer outra entidade.</w:t>
      </w:r>
    </w:p>
    <w:p w:rsidR="00EC0B3D" w:rsidRPr="00BB024D" w:rsidRDefault="00EC0B3D" w:rsidP="009F3FAC">
      <w:pPr>
        <w:spacing w:after="120" w:line="360" w:lineRule="auto"/>
        <w:jc w:val="both"/>
        <w:rPr>
          <w:rFonts w:ascii="Times New Roman" w:hAnsi="Times New Roman" w:cs="Times New Roman"/>
          <w:i/>
          <w:sz w:val="24"/>
          <w:szCs w:val="24"/>
        </w:rPr>
      </w:pPr>
      <w:r w:rsidRPr="00BB024D">
        <w:rPr>
          <w:rFonts w:ascii="Times New Roman" w:hAnsi="Times New Roman" w:cs="Times New Roman"/>
          <w:sz w:val="24"/>
          <w:szCs w:val="24"/>
        </w:rPr>
        <w:t xml:space="preserve">Como referido anteriormente, as paróquias enquanto entidades pertencentes à Igreja Católica, regem-se pelo Código de Direito Canónico e pela Concordata. Segundo Gomes (2007), o </w:t>
      </w:r>
      <w:r w:rsidRPr="00BB024D">
        <w:rPr>
          <w:rFonts w:ascii="Times New Roman" w:hAnsi="Times New Roman" w:cs="Times New Roman"/>
          <w:sz w:val="24"/>
          <w:szCs w:val="24"/>
        </w:rPr>
        <w:lastRenderedPageBreak/>
        <w:t>Estado português reconhece personalidade jurídica canónica às paróquias, nos termos do n.º 2 do art.º 9 da Concordata de 2004.</w:t>
      </w:r>
      <w:bookmarkStart w:id="14" w:name="_Toc465894246"/>
    </w:p>
    <w:p w:rsidR="00EC0B3D" w:rsidRPr="00BB024D" w:rsidRDefault="00EC0B3D" w:rsidP="009F3FAC">
      <w:pPr>
        <w:spacing w:after="120" w:line="360" w:lineRule="auto"/>
        <w:jc w:val="both"/>
        <w:rPr>
          <w:rFonts w:ascii="Times New Roman" w:hAnsi="Times New Roman" w:cs="Times New Roman"/>
          <w:i/>
          <w:sz w:val="24"/>
          <w:szCs w:val="24"/>
        </w:rPr>
      </w:pPr>
    </w:p>
    <w:p w:rsidR="00EC0B3D" w:rsidRPr="00BB024D" w:rsidRDefault="00EC0B3D" w:rsidP="009F3FAC">
      <w:pPr>
        <w:pStyle w:val="Cabealho4"/>
        <w:spacing w:before="0" w:after="120" w:line="360" w:lineRule="auto"/>
        <w:jc w:val="both"/>
        <w:rPr>
          <w:rFonts w:ascii="Times New Roman" w:hAnsi="Times New Roman" w:cs="Times New Roman"/>
          <w:b w:val="0"/>
          <w:i w:val="0"/>
          <w:sz w:val="24"/>
          <w:szCs w:val="24"/>
        </w:rPr>
      </w:pPr>
      <w:r w:rsidRPr="00BB024D">
        <w:rPr>
          <w:rFonts w:ascii="Times New Roman" w:hAnsi="Times New Roman" w:cs="Times New Roman"/>
          <w:i w:val="0"/>
          <w:sz w:val="24"/>
          <w:szCs w:val="24"/>
        </w:rPr>
        <w:t xml:space="preserve">         </w:t>
      </w:r>
      <w:bookmarkStart w:id="15" w:name="_Toc466577184"/>
      <w:r w:rsidR="001134C9" w:rsidRPr="00BB024D">
        <w:rPr>
          <w:rFonts w:ascii="Times New Roman" w:hAnsi="Times New Roman" w:cs="Times New Roman"/>
          <w:i w:val="0"/>
          <w:sz w:val="24"/>
          <w:szCs w:val="24"/>
        </w:rPr>
        <w:t>2</w:t>
      </w:r>
      <w:r w:rsidRPr="00BB024D">
        <w:rPr>
          <w:rFonts w:ascii="Times New Roman" w:hAnsi="Times New Roman" w:cs="Times New Roman"/>
          <w:i w:val="0"/>
          <w:sz w:val="24"/>
          <w:szCs w:val="24"/>
        </w:rPr>
        <w:t>.</w:t>
      </w:r>
      <w:r w:rsidR="004D284C" w:rsidRPr="00BB024D">
        <w:rPr>
          <w:rFonts w:ascii="Times New Roman" w:hAnsi="Times New Roman" w:cs="Times New Roman"/>
          <w:i w:val="0"/>
          <w:sz w:val="24"/>
          <w:szCs w:val="24"/>
        </w:rPr>
        <w:t>4</w:t>
      </w:r>
      <w:r w:rsidRPr="00BB024D">
        <w:rPr>
          <w:rFonts w:ascii="Times New Roman" w:hAnsi="Times New Roman" w:cs="Times New Roman"/>
          <w:i w:val="0"/>
          <w:sz w:val="24"/>
          <w:szCs w:val="24"/>
        </w:rPr>
        <w:t>.1. As paróquias na Lei de Bases da Economia Social</w:t>
      </w:r>
      <w:bookmarkEnd w:id="14"/>
      <w:bookmarkEnd w:id="15"/>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Para pertencer ao setor da economia social é necessário que as entidades previstas no art.º 4.º da LBES exerçam uma atividade económico-social, que terá por finalidade a prossecução de um interesse geral (Meira, 2013). No entender </w:t>
      </w:r>
      <w:r w:rsidR="008E17E3">
        <w:rPr>
          <w:rFonts w:ascii="Times New Roman" w:hAnsi="Times New Roman" w:cs="Times New Roman"/>
          <w:sz w:val="24"/>
          <w:szCs w:val="24"/>
        </w:rPr>
        <w:t>desta autora</w:t>
      </w:r>
      <w:r w:rsidRPr="00BB024D">
        <w:rPr>
          <w:rFonts w:ascii="Times New Roman" w:hAnsi="Times New Roman" w:cs="Times New Roman"/>
          <w:sz w:val="24"/>
          <w:szCs w:val="24"/>
        </w:rPr>
        <w:t>, a atividade desenvolvida pelas entidades da economia social não tem uma finalidade lucrativa, mas sim a satisfação das necessidades da comunidade, na linha de um dos princípios orientadores da economia social, o do “</w:t>
      </w:r>
      <w:r w:rsidRPr="00BB024D">
        <w:rPr>
          <w:rFonts w:ascii="Times New Roman" w:hAnsi="Times New Roman" w:cs="Times New Roman"/>
          <w:i/>
          <w:sz w:val="24"/>
          <w:szCs w:val="24"/>
        </w:rPr>
        <w:t>primado das pessoas e dos objetivos sociais</w:t>
      </w:r>
      <w:r w:rsidRPr="00BB024D">
        <w:rPr>
          <w:rFonts w:ascii="Times New Roman" w:hAnsi="Times New Roman" w:cs="Times New Roman"/>
          <w:sz w:val="24"/>
          <w:szCs w:val="24"/>
        </w:rPr>
        <w:t>”.</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Neste contexto, as paróquias, sendo dotadas de personalidade jurídica canónica, enquadram-se, de acordo com a alínea h) do artigo 4.º da LBES, nas entidades da economia social. Estas entidades respeitam os princípios orientadores da economia social, na medida em que enquadradas pelos princípios da doutrina e moral cristã, visam apoiar espiritualmente as populações, satisfazer carências sociais e praticar atos de culto católico (Meira, 2013).</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As paróquias, dada a sua especificidade, podem ser enquadradas no subsetor de “não mercado” da economia social, uma vez que fornecem bens ou serviços, na sua maioria, de forma gratuita ou a preços economicamente não significativos. São, portanto, organizações sem fins lucrativos, no verdadeiro sentido do termo, que aplicam o princípio da não distribuição de lucros ou excedentes, sendo as pessoas individuais os beneficiários dos serviços prestados (Monzón &amp; Chaves, 2008). De acordo com os citados autores, o subsetor de “não mercado” integra as denominadas instituições sem fins lucrativos ao serviço das famílias (ISFLSF). Trata-se de instituições privadas, sem fins lucrativos, dotadas de personalidade jurídica, que estão ao serviço das famílias. Os seus principais recursos, além dos resultantes de vendas eventuais, provêm de contribuições voluntárias, em espécie ou dinheiro, efetuadas pelas famílias enquanto consumidoras, de pagamentos efetuados pelas administrações públicas e de rendimentos de propriedade. Incluem-se nas ISFLSF as associações de beneficência ou de assistência, sindicatos, associações profissionais ou científicas, associações de consumidores, partidos políticos, igrejas ou associações religiosas e clubes sociais, culturais, recreativos e desportivos.</w:t>
      </w:r>
    </w:p>
    <w:p w:rsidR="002F6274" w:rsidRPr="00BB024D" w:rsidRDefault="002F6274" w:rsidP="009F3FAC">
      <w:pPr>
        <w:spacing w:after="120" w:line="360" w:lineRule="auto"/>
        <w:jc w:val="both"/>
        <w:rPr>
          <w:rFonts w:ascii="Times New Roman" w:hAnsi="Times New Roman" w:cs="Times New Roman"/>
          <w:sz w:val="24"/>
          <w:szCs w:val="24"/>
        </w:rPr>
      </w:pPr>
    </w:p>
    <w:p w:rsidR="00EC0B3D" w:rsidRPr="00BB024D" w:rsidRDefault="00EC0B3D" w:rsidP="009F3FAC">
      <w:pPr>
        <w:pStyle w:val="Cabealho4"/>
        <w:spacing w:before="0" w:after="120" w:line="360" w:lineRule="auto"/>
        <w:ind w:left="1418" w:hanging="1418"/>
        <w:jc w:val="both"/>
        <w:rPr>
          <w:rFonts w:ascii="Times New Roman" w:hAnsi="Times New Roman" w:cs="Times New Roman"/>
          <w:b w:val="0"/>
          <w:i w:val="0"/>
          <w:sz w:val="24"/>
          <w:szCs w:val="24"/>
        </w:rPr>
      </w:pPr>
      <w:bookmarkStart w:id="16" w:name="_Toc465894247"/>
      <w:r w:rsidRPr="00BB024D">
        <w:rPr>
          <w:rFonts w:ascii="Times New Roman" w:hAnsi="Times New Roman" w:cs="Times New Roman"/>
          <w:i w:val="0"/>
          <w:sz w:val="24"/>
          <w:szCs w:val="24"/>
        </w:rPr>
        <w:lastRenderedPageBreak/>
        <w:t xml:space="preserve">         </w:t>
      </w:r>
      <w:bookmarkStart w:id="17" w:name="_Toc466577185"/>
      <w:r w:rsidR="001134C9" w:rsidRPr="00BB024D">
        <w:rPr>
          <w:rFonts w:ascii="Times New Roman" w:hAnsi="Times New Roman" w:cs="Times New Roman"/>
          <w:i w:val="0"/>
          <w:sz w:val="24"/>
          <w:szCs w:val="24"/>
        </w:rPr>
        <w:t>2</w:t>
      </w:r>
      <w:r w:rsidRPr="00BB024D">
        <w:rPr>
          <w:rFonts w:ascii="Times New Roman" w:hAnsi="Times New Roman" w:cs="Times New Roman"/>
          <w:i w:val="0"/>
          <w:sz w:val="24"/>
          <w:szCs w:val="24"/>
        </w:rPr>
        <w:t>.</w:t>
      </w:r>
      <w:r w:rsidR="004D284C" w:rsidRPr="00BB024D">
        <w:rPr>
          <w:rFonts w:ascii="Times New Roman" w:hAnsi="Times New Roman" w:cs="Times New Roman"/>
          <w:i w:val="0"/>
          <w:sz w:val="24"/>
          <w:szCs w:val="24"/>
        </w:rPr>
        <w:t>4.2</w:t>
      </w:r>
      <w:r w:rsidRPr="00BB024D">
        <w:rPr>
          <w:rFonts w:ascii="Times New Roman" w:hAnsi="Times New Roman" w:cs="Times New Roman"/>
          <w:i w:val="0"/>
          <w:sz w:val="24"/>
          <w:szCs w:val="24"/>
        </w:rPr>
        <w:t>. As paróquias e o Estatuto das Instituições Particulares de Solidariedade Social</w:t>
      </w:r>
      <w:bookmarkEnd w:id="16"/>
      <w:bookmarkEnd w:id="17"/>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Associado às paróquias, encontramos outras instituições que desenvolvem atividades com fins não religiosos, tais como os Centros Sociais e Paroquiais.</w:t>
      </w:r>
      <w:r w:rsidR="00DD4827" w:rsidRPr="00BB024D">
        <w:rPr>
          <w:rFonts w:ascii="Times New Roman" w:hAnsi="Times New Roman" w:cs="Times New Roman"/>
          <w:sz w:val="24"/>
          <w:szCs w:val="24"/>
        </w:rPr>
        <w:t xml:space="preserve"> A alteração legislativa imposta pelo </w:t>
      </w:r>
      <w:r w:rsidRPr="00BB024D">
        <w:rPr>
          <w:rFonts w:ascii="Times New Roman" w:hAnsi="Times New Roman" w:cs="Times New Roman"/>
          <w:sz w:val="24"/>
          <w:szCs w:val="24"/>
        </w:rPr>
        <w:t xml:space="preserve">Decreto-Lei n.º 172-A/2014, de 14 de novembro, </w:t>
      </w:r>
      <w:r w:rsidR="00DD4827" w:rsidRPr="00BB024D">
        <w:rPr>
          <w:rFonts w:ascii="Times New Roman" w:hAnsi="Times New Roman" w:cs="Times New Roman"/>
          <w:sz w:val="24"/>
          <w:szCs w:val="24"/>
        </w:rPr>
        <w:t xml:space="preserve">que </w:t>
      </w:r>
      <w:r w:rsidRPr="00BB024D">
        <w:rPr>
          <w:rFonts w:ascii="Times New Roman" w:hAnsi="Times New Roman" w:cs="Times New Roman"/>
          <w:sz w:val="24"/>
          <w:szCs w:val="24"/>
        </w:rPr>
        <w:t>alterou e republicou o Estatuto das Instituições Particulares de Solidariedade Social, aprovado pelo Decreto-Lei n.º 119/83, de 25 de fevereiro</w:t>
      </w:r>
      <w:r w:rsidR="00DD4827" w:rsidRPr="00BB024D">
        <w:rPr>
          <w:rFonts w:ascii="Times New Roman" w:hAnsi="Times New Roman" w:cs="Times New Roman"/>
          <w:sz w:val="24"/>
          <w:szCs w:val="24"/>
        </w:rPr>
        <w:t xml:space="preserve">, veio estabelecer que as </w:t>
      </w:r>
      <w:r w:rsidRPr="00BB024D">
        <w:rPr>
          <w:rFonts w:ascii="Times New Roman" w:hAnsi="Times New Roman" w:cs="Times New Roman"/>
          <w:sz w:val="24"/>
          <w:szCs w:val="24"/>
        </w:rPr>
        <w:t>instituições, nos termos da Concordata celebrada entre a Santa Sé e a República Portuguesa em 18 de maio de 2004, podem assumir a forma de Institutos de Organizações ou Instituições da Igreja Católica, designadamente Centros Sociais e Paroquiais e Cáritas Diocesanas e Paroquiais (Lopes, 2015).</w:t>
      </w:r>
      <w:r w:rsidR="00DD4827" w:rsidRPr="00BB024D">
        <w:rPr>
          <w:rFonts w:ascii="Times New Roman" w:hAnsi="Times New Roman" w:cs="Times New Roman"/>
          <w:sz w:val="24"/>
          <w:szCs w:val="24"/>
        </w:rPr>
        <w:t xml:space="preserve"> </w:t>
      </w:r>
      <w:r w:rsidR="00CC030A" w:rsidRPr="00AA5E74">
        <w:rPr>
          <w:rFonts w:ascii="Times New Roman" w:hAnsi="Times New Roman" w:cs="Times New Roman"/>
          <w:color w:val="000000"/>
          <w:sz w:val="24"/>
          <w:szCs w:val="24"/>
        </w:rPr>
        <w:t>As atividades de solidariedade social das organizações religiosas encontram-se regulamentadas nos art.º 40.º a 51.º do EIPSS.</w:t>
      </w:r>
      <w:r w:rsidR="00CC030A">
        <w:rPr>
          <w:rFonts w:ascii="Times New Roman" w:hAnsi="Times New Roman" w:cs="Times New Roman"/>
          <w:color w:val="000000"/>
          <w:sz w:val="24"/>
          <w:szCs w:val="24"/>
        </w:rPr>
        <w:t xml:space="preserve"> </w:t>
      </w:r>
      <w:r w:rsidR="00DD4827" w:rsidRPr="00BB024D">
        <w:rPr>
          <w:rFonts w:ascii="Times New Roman" w:hAnsi="Times New Roman" w:cs="Times New Roman"/>
          <w:sz w:val="24"/>
          <w:szCs w:val="24"/>
        </w:rPr>
        <w:t>Embora não seja este o nosso objeto de estudo, consideramos, face ao vazio legal existente</w:t>
      </w:r>
      <w:r w:rsidR="004D284C" w:rsidRPr="00BB024D">
        <w:rPr>
          <w:rFonts w:ascii="Times New Roman" w:hAnsi="Times New Roman" w:cs="Times New Roman"/>
          <w:sz w:val="24"/>
          <w:szCs w:val="24"/>
        </w:rPr>
        <w:t xml:space="preserve"> relativamente ao enquadramento jurídico das paróquias, que por </w:t>
      </w:r>
      <w:r w:rsidRPr="00BB024D">
        <w:rPr>
          <w:rFonts w:ascii="Times New Roman" w:hAnsi="Times New Roman" w:cs="Times New Roman"/>
          <w:sz w:val="24"/>
          <w:szCs w:val="24"/>
        </w:rPr>
        <w:t>analogia, se deveria aplicar a estas entidades o regime jurídico aplicado às IPSS. Entendemos que deve ser aplicada às paróquias a separação entre fins principais e instrumentais ou atividades instrumentais, previstas nos artigos n.º 1-A e 1-B do EIPSS.</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Entende-se por fins principais das paróquias as atividades de culto e de apoio espiritual às comunidades em que estas se encontram inseridas. Estas atividades podem ser complementadas com o desenvolvimento de atividades secundárias, ou seja, atividades sem fins lucrativos que sejam compatíveis com os fins principais desenvolvidos, tais como atividades de cariz social. Por fins instrumentais, entendem-se as atividades desenvolvidas por estas instituições, relativamente aos fins não lucrativos, ainda que desenvolvidas por outras entidades por si criadas, mesmo que em parceria e cujos resultados económicos contribuem exclusivamente para o financiamento da concretização dos fins principais (Lopes, 2015). </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Assim, em nome da sustentabilidade da paróquia, admite-se a prática de atos com fins lucrativos como forma de angariação de receitas que melhor permitam prosseguir os fins principais.</w:t>
      </w:r>
    </w:p>
    <w:p w:rsidR="004D284C"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Considerando importante para este trabalho compreender o regime contabilístico aplicado a estas entidades, iremos debruçar-nos sobre esta temática no próximo </w:t>
      </w:r>
      <w:r w:rsidR="004D284C" w:rsidRPr="00BB024D">
        <w:rPr>
          <w:rFonts w:ascii="Times New Roman" w:hAnsi="Times New Roman" w:cs="Times New Roman"/>
          <w:sz w:val="24"/>
          <w:szCs w:val="24"/>
        </w:rPr>
        <w:t>ponto.</w:t>
      </w:r>
    </w:p>
    <w:p w:rsidR="003F05D0" w:rsidRPr="00BB024D" w:rsidRDefault="003F05D0" w:rsidP="009F3FAC">
      <w:pPr>
        <w:spacing w:after="120" w:line="360" w:lineRule="auto"/>
        <w:jc w:val="both"/>
        <w:rPr>
          <w:rFonts w:ascii="Times New Roman" w:hAnsi="Times New Roman" w:cs="Times New Roman"/>
          <w:sz w:val="24"/>
          <w:szCs w:val="24"/>
        </w:rPr>
      </w:pPr>
    </w:p>
    <w:p w:rsidR="006C03A7" w:rsidRDefault="001134C9" w:rsidP="009F3FAC">
      <w:pPr>
        <w:pStyle w:val="Cabealho2"/>
        <w:spacing w:before="0" w:after="120" w:line="360" w:lineRule="auto"/>
        <w:ind w:left="851" w:hanging="851"/>
        <w:jc w:val="both"/>
        <w:rPr>
          <w:rFonts w:ascii="Times New Roman" w:hAnsi="Times New Roman" w:cs="Times New Roman"/>
          <w:sz w:val="24"/>
          <w:szCs w:val="24"/>
        </w:rPr>
      </w:pPr>
      <w:r w:rsidRPr="00BB024D">
        <w:rPr>
          <w:rFonts w:ascii="Times New Roman" w:hAnsi="Times New Roman" w:cs="Times New Roman"/>
          <w:sz w:val="24"/>
          <w:szCs w:val="24"/>
        </w:rPr>
        <w:t xml:space="preserve">      </w:t>
      </w:r>
    </w:p>
    <w:p w:rsidR="006C03A7" w:rsidRDefault="006C03A7" w:rsidP="009F3FAC">
      <w:pPr>
        <w:pStyle w:val="Cabealho2"/>
        <w:spacing w:before="0" w:after="120" w:line="360" w:lineRule="auto"/>
        <w:ind w:left="851" w:hanging="851"/>
        <w:jc w:val="both"/>
        <w:rPr>
          <w:rFonts w:ascii="Times New Roman" w:hAnsi="Times New Roman" w:cs="Times New Roman"/>
          <w:sz w:val="24"/>
          <w:szCs w:val="24"/>
        </w:rPr>
      </w:pPr>
    </w:p>
    <w:p w:rsidR="001134C9" w:rsidRPr="00BB024D" w:rsidRDefault="006C03A7" w:rsidP="009F3FAC">
      <w:pPr>
        <w:pStyle w:val="Cabealho2"/>
        <w:spacing w:before="0" w:after="12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1134C9" w:rsidRPr="00BB024D">
        <w:rPr>
          <w:rFonts w:ascii="Times New Roman" w:hAnsi="Times New Roman" w:cs="Times New Roman"/>
          <w:sz w:val="24"/>
          <w:szCs w:val="24"/>
        </w:rPr>
        <w:t>2.</w:t>
      </w:r>
      <w:r w:rsidR="00633CD9" w:rsidRPr="00BB024D">
        <w:rPr>
          <w:rFonts w:ascii="Times New Roman" w:hAnsi="Times New Roman" w:cs="Times New Roman"/>
          <w:sz w:val="24"/>
          <w:szCs w:val="24"/>
        </w:rPr>
        <w:t>5</w:t>
      </w:r>
      <w:r w:rsidR="001134C9" w:rsidRPr="00BB024D">
        <w:rPr>
          <w:rFonts w:ascii="Times New Roman" w:hAnsi="Times New Roman" w:cs="Times New Roman"/>
          <w:sz w:val="24"/>
          <w:szCs w:val="24"/>
        </w:rPr>
        <w:t xml:space="preserve">. O regime </w:t>
      </w:r>
      <w:r w:rsidR="00707699" w:rsidRPr="00BB024D">
        <w:rPr>
          <w:rFonts w:ascii="Times New Roman" w:hAnsi="Times New Roman" w:cs="Times New Roman"/>
          <w:sz w:val="24"/>
          <w:szCs w:val="24"/>
        </w:rPr>
        <w:t>contabilístico das paróquias</w:t>
      </w:r>
    </w:p>
    <w:p w:rsidR="00EC0B3D" w:rsidRPr="00BB024D" w:rsidRDefault="00EC0B3D" w:rsidP="009F3FAC">
      <w:pPr>
        <w:spacing w:after="120" w:line="360" w:lineRule="auto"/>
        <w:jc w:val="both"/>
        <w:rPr>
          <w:rFonts w:ascii="Times New Roman" w:hAnsi="Times New Roman" w:cs="Times New Roman"/>
          <w:sz w:val="24"/>
          <w:szCs w:val="24"/>
        </w:rPr>
      </w:pPr>
      <w:bookmarkStart w:id="18" w:name="_Toc460348807"/>
      <w:r w:rsidRPr="00BB024D">
        <w:rPr>
          <w:rFonts w:ascii="Times New Roman" w:hAnsi="Times New Roman" w:cs="Times New Roman"/>
          <w:color w:val="000000"/>
          <w:sz w:val="24"/>
          <w:szCs w:val="24"/>
        </w:rPr>
        <w:t xml:space="preserve">As paróquias, como referido anteriormente, abrangem duas situações distintas. </w:t>
      </w:r>
      <w:r w:rsidRPr="00BB024D">
        <w:rPr>
          <w:rFonts w:ascii="Times New Roman" w:hAnsi="Times New Roman" w:cs="Times New Roman"/>
          <w:sz w:val="24"/>
          <w:szCs w:val="24"/>
        </w:rPr>
        <w:t xml:space="preserve">Por um lado, desenvolvem a sua atividade religiosa normal, da qual devem apresentar contas anualmente na diocese </w:t>
      </w:r>
      <w:r w:rsidRPr="00BB024D">
        <w:rPr>
          <w:rFonts w:ascii="Times New Roman" w:hAnsi="Times New Roman" w:cs="Times New Roman"/>
          <w:color w:val="000000"/>
          <w:sz w:val="24"/>
          <w:szCs w:val="24"/>
        </w:rPr>
        <w:t>(Ferreira, 2003).</w:t>
      </w:r>
      <w:r w:rsidRPr="00BB024D">
        <w:rPr>
          <w:rFonts w:ascii="Times New Roman" w:hAnsi="Times New Roman" w:cs="Times New Roman"/>
          <w:sz w:val="24"/>
          <w:szCs w:val="24"/>
        </w:rPr>
        <w:t xml:space="preserve"> Por outro lado podem desenvolver atividades com fins diversos dos religiosos. Estes diferentes tipos de atividades têm tratamento contabilístico distinto.</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Por analogia, as atividades desenvolvidas pelas paróquias podem ser equiparadas às previstas nos artigos 1-A e 1-B do EIPSS. O n.º 3 do artigo 1.º do EIPSS determina que o regime estabelecido no referido estatuto aplica-se subsidiariamente às instituições que se encontrem sujeitas a regulamentação especial, nas quais podemos incluir as paróquias, uma vez que o referido Estatuto </w:t>
      </w:r>
      <w:r w:rsidRPr="00BB024D">
        <w:rPr>
          <w:rFonts w:ascii="Times New Roman" w:hAnsi="Times New Roman" w:cs="Times New Roman"/>
          <w:color w:val="000000"/>
          <w:sz w:val="24"/>
          <w:szCs w:val="24"/>
        </w:rPr>
        <w:t xml:space="preserve">faz a distinção entre pessoas jurídicas constituídas ao abrigo do direito português e as pessoas jurídicas canónicas (Mesquita, 2014; </w:t>
      </w:r>
      <w:r w:rsidRPr="00BB024D">
        <w:rPr>
          <w:rFonts w:ascii="Times New Roman" w:hAnsi="Times New Roman" w:cs="Times New Roman"/>
          <w:sz w:val="24"/>
          <w:szCs w:val="24"/>
        </w:rPr>
        <w:t xml:space="preserve">Lopes, 2015). </w:t>
      </w:r>
    </w:p>
    <w:p w:rsidR="00EC0B3D" w:rsidRPr="00BB024D" w:rsidRDefault="00EC0B3D" w:rsidP="009F3FAC">
      <w:pPr>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color w:val="000000"/>
          <w:sz w:val="24"/>
          <w:szCs w:val="24"/>
        </w:rPr>
        <w:t xml:space="preserve">De salientar que os resultados obtidos por estas entidades, decorrentes dos fins instrumentais desenvolvidos, </w:t>
      </w:r>
      <w:r w:rsidR="00974EB9" w:rsidRPr="00BB024D">
        <w:rPr>
          <w:rFonts w:ascii="Times New Roman" w:hAnsi="Times New Roman" w:cs="Times New Roman"/>
          <w:color w:val="000000"/>
          <w:sz w:val="24"/>
          <w:szCs w:val="24"/>
        </w:rPr>
        <w:t>embora revertam para a atividade principal da paróquia e se destinem a suprir as necessidades normais de funcionamento</w:t>
      </w:r>
      <w:r w:rsidRPr="00BB024D">
        <w:rPr>
          <w:rFonts w:ascii="Times New Roman" w:hAnsi="Times New Roman" w:cs="Times New Roman"/>
          <w:color w:val="000000"/>
          <w:sz w:val="24"/>
          <w:szCs w:val="24"/>
        </w:rPr>
        <w:t>, estão sujeitos ao tratamento contabilístico e regime fiscal aplicado à respetiva atividade, nos termos do n.º 5 do art.º 26.º da Concordata (2004).</w:t>
      </w:r>
    </w:p>
    <w:p w:rsidR="00A41472" w:rsidRPr="00BB024D" w:rsidRDefault="00974EB9" w:rsidP="009F3FAC">
      <w:pPr>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color w:val="000000"/>
          <w:sz w:val="24"/>
          <w:szCs w:val="24"/>
        </w:rPr>
        <w:t xml:space="preserve">Assim, </w:t>
      </w:r>
      <w:r w:rsidR="00EC0B3D" w:rsidRPr="00BB024D">
        <w:rPr>
          <w:rFonts w:ascii="Times New Roman" w:hAnsi="Times New Roman" w:cs="Times New Roman"/>
          <w:color w:val="000000"/>
          <w:sz w:val="24"/>
          <w:szCs w:val="24"/>
        </w:rPr>
        <w:t>de acordo com o n.º 1 do art.º 14-A do EIPSS, as contas do exercício das paróquias, por analogia com as restantes entidades ligadas à igreja, tais como misericórdias e centros sociais e paroquiais, ou com outras entidades da economia social</w:t>
      </w:r>
      <w:r w:rsidRPr="00BB024D">
        <w:rPr>
          <w:rFonts w:ascii="Times New Roman" w:hAnsi="Times New Roman" w:cs="Times New Roman"/>
          <w:color w:val="000000"/>
          <w:sz w:val="24"/>
          <w:szCs w:val="24"/>
        </w:rPr>
        <w:t xml:space="preserve"> </w:t>
      </w:r>
      <w:r w:rsidR="00EC0B3D" w:rsidRPr="00BB024D">
        <w:rPr>
          <w:rFonts w:ascii="Times New Roman" w:hAnsi="Times New Roman" w:cs="Times New Roman"/>
          <w:color w:val="000000"/>
          <w:sz w:val="24"/>
          <w:szCs w:val="24"/>
        </w:rPr>
        <w:t>devem obedecer ao Regime de Normalização Contabilística para as Entidades do Setor Não Lucrativo (Meira, 2015)</w:t>
      </w:r>
      <w:r w:rsidR="00A41472" w:rsidRPr="00BB024D">
        <w:rPr>
          <w:rFonts w:ascii="Times New Roman" w:hAnsi="Times New Roman" w:cs="Times New Roman"/>
          <w:color w:val="000000"/>
          <w:sz w:val="24"/>
          <w:szCs w:val="24"/>
        </w:rPr>
        <w:t xml:space="preserve">. Estas entidades </w:t>
      </w:r>
      <w:r w:rsidR="004D6976" w:rsidRPr="00BB024D">
        <w:rPr>
          <w:rFonts w:ascii="Times New Roman" w:hAnsi="Times New Roman" w:cs="Times New Roman"/>
          <w:color w:val="000000"/>
          <w:sz w:val="24"/>
          <w:szCs w:val="24"/>
        </w:rPr>
        <w:t xml:space="preserve">podem </w:t>
      </w:r>
      <w:r w:rsidR="00A41472" w:rsidRPr="00BB024D">
        <w:rPr>
          <w:rFonts w:ascii="Times New Roman" w:hAnsi="Times New Roman" w:cs="Times New Roman"/>
          <w:color w:val="000000"/>
          <w:sz w:val="24"/>
          <w:szCs w:val="24"/>
        </w:rPr>
        <w:t>ficar dispensadas da aplicação da NCRF-ESNL, desde que cumpridos os critérios previstos no n.º 2 do artigo 10.º do Decreto-Lei n.º 98/2015.</w:t>
      </w:r>
    </w:p>
    <w:p w:rsidR="00A41472" w:rsidRPr="00BB024D" w:rsidRDefault="00A41472" w:rsidP="009F3FAC">
      <w:pPr>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color w:val="000000"/>
          <w:sz w:val="24"/>
          <w:szCs w:val="24"/>
        </w:rPr>
        <w:t xml:space="preserve">Neste contexto, as </w:t>
      </w:r>
      <w:r w:rsidRPr="00BB024D">
        <w:rPr>
          <w:rFonts w:ascii="Times New Roman" w:hAnsi="Times New Roman" w:cs="Times New Roman"/>
          <w:sz w:val="24"/>
          <w:szCs w:val="24"/>
        </w:rPr>
        <w:t>entidades que estejam dispensadas, nomeadamente as paróquias, e que não optem pela aplicação da NCRF-ESNL ficam obrigadas à prestação de contas em regime de caixa.</w:t>
      </w:r>
      <w:r w:rsidR="00D76B85">
        <w:rPr>
          <w:rFonts w:ascii="Times New Roman" w:hAnsi="Times New Roman" w:cs="Times New Roman"/>
          <w:sz w:val="24"/>
          <w:szCs w:val="24"/>
        </w:rPr>
        <w:t xml:space="preserve">  Ficando dispensadas da aplicação desta norma aquelas</w:t>
      </w:r>
      <w:r w:rsidR="00D76B85" w:rsidRPr="00D76B85">
        <w:rPr>
          <w:rFonts w:ascii="Times New Roman" w:hAnsi="Times New Roman" w:cs="Times New Roman"/>
          <w:sz w:val="24"/>
          <w:szCs w:val="24"/>
        </w:rPr>
        <w:t xml:space="preserve">, cujo volume de negócios líquido não exceda €150.000 em nenhum dos dois períodos anteriores, </w:t>
      </w:r>
      <w:r w:rsidR="00D76B85">
        <w:rPr>
          <w:rFonts w:ascii="Times New Roman" w:hAnsi="Times New Roman" w:cs="Times New Roman"/>
          <w:sz w:val="24"/>
          <w:szCs w:val="24"/>
        </w:rPr>
        <w:t xml:space="preserve">neste caso </w:t>
      </w:r>
      <w:r w:rsidR="00D76B85" w:rsidRPr="00D76B85">
        <w:rPr>
          <w:rFonts w:ascii="Times New Roman" w:hAnsi="Times New Roman" w:cs="Times New Roman"/>
          <w:sz w:val="24"/>
          <w:szCs w:val="24"/>
        </w:rPr>
        <w:t>estão sujeitas à prestaçã</w:t>
      </w:r>
      <w:r w:rsidR="00D76B85">
        <w:rPr>
          <w:rFonts w:ascii="Times New Roman" w:hAnsi="Times New Roman" w:cs="Times New Roman"/>
          <w:sz w:val="24"/>
          <w:szCs w:val="24"/>
        </w:rPr>
        <w:t>o de contas em regime de caixa. Esta</w:t>
      </w:r>
      <w:r w:rsidR="00D76B85" w:rsidRPr="00D76B85">
        <w:rPr>
          <w:rFonts w:ascii="Times New Roman" w:hAnsi="Times New Roman" w:cs="Times New Roman"/>
          <w:sz w:val="24"/>
          <w:szCs w:val="24"/>
        </w:rPr>
        <w:t xml:space="preserve"> dispensa cessa quando </w:t>
      </w:r>
      <w:r w:rsidR="00D76B85">
        <w:rPr>
          <w:rFonts w:ascii="Times New Roman" w:hAnsi="Times New Roman" w:cs="Times New Roman"/>
          <w:sz w:val="24"/>
          <w:szCs w:val="24"/>
        </w:rPr>
        <w:t>o</w:t>
      </w:r>
      <w:r w:rsidR="00D76B85" w:rsidRPr="00D76B85">
        <w:rPr>
          <w:rFonts w:ascii="Times New Roman" w:hAnsi="Times New Roman" w:cs="Times New Roman"/>
          <w:sz w:val="24"/>
          <w:szCs w:val="24"/>
        </w:rPr>
        <w:t xml:space="preserve"> limite referido anteriormente for ultrapassado, ficando a entidade obrigada a partir do período seguinte, inclusive, a aplicar a NCRF-ESNL.</w:t>
      </w:r>
    </w:p>
    <w:p w:rsidR="00A41472" w:rsidRPr="00BB024D" w:rsidRDefault="00A41472" w:rsidP="009F3FAC">
      <w:pPr>
        <w:spacing w:after="120" w:line="360" w:lineRule="auto"/>
        <w:jc w:val="both"/>
        <w:rPr>
          <w:rFonts w:ascii="Times New Roman" w:hAnsi="Times New Roman" w:cs="Times New Roman"/>
          <w:color w:val="000000"/>
          <w:sz w:val="24"/>
          <w:szCs w:val="24"/>
        </w:rPr>
      </w:pPr>
    </w:p>
    <w:bookmarkEnd w:id="18"/>
    <w:p w:rsidR="00EC0B3D" w:rsidRPr="00BB024D" w:rsidRDefault="00EC0B3D" w:rsidP="009F3FAC">
      <w:pPr>
        <w:pStyle w:val="Cabealho2"/>
        <w:spacing w:before="0" w:after="120" w:line="360" w:lineRule="auto"/>
        <w:jc w:val="both"/>
        <w:rPr>
          <w:rFonts w:ascii="Times New Roman" w:hAnsi="Times New Roman" w:cs="Times New Roman"/>
          <w:b w:val="0"/>
          <w:sz w:val="24"/>
          <w:szCs w:val="24"/>
        </w:rPr>
      </w:pPr>
      <w:r w:rsidRPr="00BB024D">
        <w:rPr>
          <w:rFonts w:ascii="Times New Roman" w:hAnsi="Times New Roman" w:cs="Times New Roman"/>
          <w:sz w:val="24"/>
          <w:szCs w:val="24"/>
        </w:rPr>
        <w:t xml:space="preserve">      </w:t>
      </w:r>
      <w:bookmarkStart w:id="19" w:name="_Toc465894260"/>
      <w:bookmarkStart w:id="20" w:name="_Toc466577198"/>
      <w:r w:rsidRPr="00BB024D">
        <w:rPr>
          <w:rFonts w:ascii="Times New Roman" w:hAnsi="Times New Roman" w:cs="Times New Roman"/>
          <w:sz w:val="24"/>
          <w:szCs w:val="24"/>
        </w:rPr>
        <w:t>2.</w:t>
      </w:r>
      <w:r w:rsidR="00633CD9" w:rsidRPr="00BB024D">
        <w:rPr>
          <w:rFonts w:ascii="Times New Roman" w:hAnsi="Times New Roman" w:cs="Times New Roman"/>
          <w:sz w:val="24"/>
          <w:szCs w:val="24"/>
        </w:rPr>
        <w:t>6</w:t>
      </w:r>
      <w:r w:rsidRPr="00BB024D">
        <w:rPr>
          <w:rFonts w:ascii="Times New Roman" w:hAnsi="Times New Roman" w:cs="Times New Roman"/>
          <w:sz w:val="24"/>
          <w:szCs w:val="24"/>
        </w:rPr>
        <w:t>. Divulgação e transparência na prestação de contas</w:t>
      </w:r>
      <w:bookmarkEnd w:id="19"/>
      <w:bookmarkEnd w:id="20"/>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lastRenderedPageBreak/>
        <w:t xml:space="preserve">Segundo Gray, Bebbington e Collison (2006), a divulgação de informações ao público tem um papel preponderante no processo de transparência das EES, reforçando a sua legitimidade e credibilidade diante dos </w:t>
      </w:r>
      <w:r w:rsidRPr="00BB024D">
        <w:rPr>
          <w:rFonts w:ascii="Times New Roman" w:hAnsi="Times New Roman" w:cs="Times New Roman"/>
          <w:i/>
          <w:sz w:val="24"/>
          <w:szCs w:val="24"/>
        </w:rPr>
        <w:t>stakeholders</w:t>
      </w:r>
      <w:r w:rsidRPr="00BB024D">
        <w:rPr>
          <w:rFonts w:ascii="Times New Roman" w:hAnsi="Times New Roman" w:cs="Times New Roman"/>
          <w:sz w:val="24"/>
          <w:szCs w:val="24"/>
        </w:rPr>
        <w:t xml:space="preserve">. </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O relato financeiro neste setor, e em particular nas paróquias, é um meio de comunicação importante, pois através dele, estas organizações conseguem satisfazer o seu dever e a sua responsabilidade perante os beneméritos e a sociedade. Segundo Carvalho (2016), apesar da debilidade dos relatórios produzidos por estas entidades e dos canais de divulgação serem pouco formais, deve incentivar-se a divulgação pública de informação de forma a assegurar que se trabalha estritamente no interesse da comunidade e não para benefício próprio, uma vez que a divulgação e transparência são fundamentais para manter a confiança nestas entidades.</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Benjamin (2008) refere que existe cada vez mais a necessidade do cumprimento de regras para garantir a qualidade do relato financeiro e a utilidade que é dada ao mesmo.</w:t>
      </w:r>
    </w:p>
    <w:p w:rsidR="00EC0B3D" w:rsidRPr="00BB024D" w:rsidRDefault="00EC0B3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Na era da tecnologia, a transparência pode ser demonstrada através dos instrumentos disponíveis ao público em geral nos </w:t>
      </w:r>
      <w:r w:rsidRPr="00BB024D">
        <w:rPr>
          <w:rFonts w:ascii="Times New Roman" w:hAnsi="Times New Roman" w:cs="Times New Roman"/>
          <w:i/>
          <w:sz w:val="24"/>
          <w:szCs w:val="24"/>
        </w:rPr>
        <w:t>sites</w:t>
      </w:r>
      <w:r w:rsidRPr="00BB024D">
        <w:rPr>
          <w:rFonts w:ascii="Times New Roman" w:hAnsi="Times New Roman" w:cs="Times New Roman"/>
          <w:sz w:val="24"/>
          <w:szCs w:val="24"/>
        </w:rPr>
        <w:t xml:space="preserve"> das instituições. </w:t>
      </w:r>
      <w:r w:rsidR="00A41472" w:rsidRPr="00BB024D">
        <w:rPr>
          <w:rFonts w:ascii="Times New Roman" w:hAnsi="Times New Roman" w:cs="Times New Roman"/>
          <w:sz w:val="24"/>
          <w:szCs w:val="24"/>
        </w:rPr>
        <w:t>T</w:t>
      </w:r>
      <w:r w:rsidRPr="00BB024D">
        <w:rPr>
          <w:rFonts w:ascii="Times New Roman" w:hAnsi="Times New Roman" w:cs="Times New Roman"/>
          <w:sz w:val="24"/>
          <w:szCs w:val="24"/>
        </w:rPr>
        <w:t>ambém em termos de divulgação e de transparência, as paróquias, por referência a outras entidades ligadas à Igreja, deveriam ter as contas do exercício publicitadas obrigatoriamente no sítio institucional eletrónico da instituição até 31 de maio do ano seguinte a que dizem respeito (n.º 2 do art.º 2.º do EIPSS).</w:t>
      </w:r>
    </w:p>
    <w:p w:rsidR="00A41472" w:rsidRPr="00BB024D" w:rsidRDefault="00A41472" w:rsidP="009F3FAC">
      <w:pPr>
        <w:spacing w:after="120" w:line="360" w:lineRule="auto"/>
        <w:jc w:val="both"/>
        <w:rPr>
          <w:rFonts w:ascii="Times New Roman" w:hAnsi="Times New Roman" w:cs="Times New Roman"/>
          <w:sz w:val="24"/>
          <w:szCs w:val="24"/>
        </w:rPr>
      </w:pPr>
    </w:p>
    <w:p w:rsidR="008B3AAD" w:rsidRPr="00BB024D" w:rsidRDefault="008B3AAD" w:rsidP="009F3FAC">
      <w:pPr>
        <w:pStyle w:val="Cabealho1"/>
        <w:spacing w:before="0" w:after="120" w:line="360" w:lineRule="auto"/>
        <w:jc w:val="both"/>
        <w:rPr>
          <w:rFonts w:ascii="Times New Roman" w:hAnsi="Times New Roman" w:cs="Times New Roman"/>
          <w:sz w:val="24"/>
          <w:szCs w:val="24"/>
        </w:rPr>
      </w:pPr>
    </w:p>
    <w:p w:rsidR="008B3AAD" w:rsidRPr="00BB024D" w:rsidRDefault="008B3AAD" w:rsidP="009F3FAC">
      <w:pPr>
        <w:pStyle w:val="Cabealho1"/>
        <w:spacing w:before="0"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3. </w:t>
      </w:r>
      <w:bookmarkStart w:id="21" w:name="_Toc465894262"/>
      <w:bookmarkStart w:id="22" w:name="_Toc466577200"/>
      <w:r w:rsidR="00012B44">
        <w:rPr>
          <w:rFonts w:ascii="Times New Roman" w:hAnsi="Times New Roman" w:cs="Times New Roman"/>
          <w:sz w:val="24"/>
          <w:szCs w:val="24"/>
        </w:rPr>
        <w:t>Estudo Empírico</w:t>
      </w:r>
      <w:bookmarkEnd w:id="21"/>
      <w:bookmarkEnd w:id="22"/>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Esta investigação partiu da constatação da falta de divulgação de informação financeira por parte das instituições religiosas católicas em Portugal, mais concretamente das paróquias.</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Este problema, apesar de não ser exclusivo destas entidades, evidencia a falta de transparência nas Entidades da Economia Social junto dos seus </w:t>
      </w:r>
      <w:r w:rsidRPr="00BB024D">
        <w:rPr>
          <w:rFonts w:ascii="Times New Roman" w:hAnsi="Times New Roman" w:cs="Times New Roman"/>
          <w:i/>
          <w:sz w:val="24"/>
          <w:szCs w:val="24"/>
        </w:rPr>
        <w:t>stakeholders</w:t>
      </w:r>
      <w:r w:rsidRPr="00BB024D">
        <w:rPr>
          <w:rFonts w:ascii="Times New Roman" w:hAnsi="Times New Roman" w:cs="Times New Roman"/>
          <w:sz w:val="24"/>
          <w:szCs w:val="24"/>
        </w:rPr>
        <w:t xml:space="preserve">. </w:t>
      </w:r>
    </w:p>
    <w:p w:rsidR="00CC030A"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Assim, definimos como objetivo principal desta investigação </w:t>
      </w:r>
      <w:r w:rsidR="00CC030A">
        <w:rPr>
          <w:rFonts w:ascii="Times New Roman" w:hAnsi="Times New Roman" w:cs="Times New Roman"/>
          <w:sz w:val="24"/>
          <w:szCs w:val="24"/>
        </w:rPr>
        <w:t>efetuar uma análise do ponto de vista jurídico e contabilístico, de forma a identificar as normas e modelos de relato a que estão sujeitas as paróquias e se estes permitem a adequada transparência da informação financeira.</w:t>
      </w:r>
    </w:p>
    <w:p w:rsidR="008B3AAD" w:rsidRPr="00BB024D" w:rsidRDefault="008B3AAD" w:rsidP="009F3FAC">
      <w:pPr>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color w:val="000000"/>
          <w:sz w:val="24"/>
          <w:szCs w:val="24"/>
        </w:rPr>
        <w:t>Para complementar este objetivo, elaboramos um conjunto de questões de investigação que enumeramos de seguida:</w:t>
      </w:r>
    </w:p>
    <w:p w:rsidR="008B3AAD" w:rsidRPr="00BB024D" w:rsidRDefault="008B3AAD" w:rsidP="009F3FAC">
      <w:pPr>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b/>
          <w:bCs/>
          <w:color w:val="000000"/>
          <w:sz w:val="24"/>
          <w:szCs w:val="24"/>
        </w:rPr>
        <w:lastRenderedPageBreak/>
        <w:t>QI 1</w:t>
      </w:r>
      <w:r w:rsidRPr="00BB024D">
        <w:rPr>
          <w:rFonts w:ascii="Times New Roman" w:hAnsi="Times New Roman" w:cs="Times New Roman"/>
          <w:bCs/>
          <w:color w:val="000000"/>
          <w:sz w:val="24"/>
          <w:szCs w:val="24"/>
        </w:rPr>
        <w:t xml:space="preserve"> - </w:t>
      </w:r>
      <w:r w:rsidRPr="00BB024D">
        <w:rPr>
          <w:rFonts w:ascii="Times New Roman" w:hAnsi="Times New Roman" w:cs="Times New Roman"/>
          <w:color w:val="000000"/>
          <w:sz w:val="24"/>
          <w:szCs w:val="24"/>
        </w:rPr>
        <w:t>A informação financeira das paróquias é divulgada e está acessível ao público em geral, através da publicação nas suas páginas eletrónicas?</w:t>
      </w:r>
    </w:p>
    <w:p w:rsidR="008B3AAD" w:rsidRPr="00BB024D" w:rsidRDefault="008B3AAD" w:rsidP="009F3FAC">
      <w:pPr>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b/>
          <w:bCs/>
          <w:color w:val="000000"/>
          <w:sz w:val="24"/>
          <w:szCs w:val="24"/>
        </w:rPr>
        <w:t>QI 2</w:t>
      </w:r>
      <w:r w:rsidRPr="00BB024D">
        <w:rPr>
          <w:rFonts w:ascii="Times New Roman" w:hAnsi="Times New Roman" w:cs="Times New Roman"/>
          <w:bCs/>
          <w:color w:val="000000"/>
          <w:sz w:val="24"/>
          <w:szCs w:val="24"/>
        </w:rPr>
        <w:t xml:space="preserve"> -</w:t>
      </w:r>
      <w:r w:rsidRPr="00BB024D">
        <w:rPr>
          <w:rFonts w:ascii="Times New Roman" w:hAnsi="Times New Roman" w:cs="Times New Roman"/>
          <w:color w:val="000000"/>
          <w:sz w:val="24"/>
          <w:szCs w:val="24"/>
        </w:rPr>
        <w:t xml:space="preserve"> Que demonstrações financeiras são elaboradas?</w:t>
      </w:r>
    </w:p>
    <w:p w:rsidR="008B3AAD" w:rsidRPr="00BB024D" w:rsidRDefault="008B3AAD" w:rsidP="009F3FAC">
      <w:pPr>
        <w:spacing w:after="120" w:line="360" w:lineRule="auto"/>
        <w:jc w:val="both"/>
        <w:rPr>
          <w:rFonts w:ascii="Times New Roman" w:hAnsi="Times New Roman" w:cs="Times New Roman"/>
          <w:color w:val="000000"/>
          <w:sz w:val="24"/>
          <w:szCs w:val="24"/>
        </w:rPr>
      </w:pPr>
      <w:r w:rsidRPr="00BB024D">
        <w:rPr>
          <w:rFonts w:ascii="Times New Roman" w:hAnsi="Times New Roman" w:cs="Times New Roman"/>
          <w:b/>
          <w:bCs/>
          <w:color w:val="000000"/>
          <w:sz w:val="24"/>
          <w:szCs w:val="24"/>
        </w:rPr>
        <w:t>QI 3</w:t>
      </w:r>
      <w:r w:rsidRPr="00BB024D">
        <w:rPr>
          <w:rFonts w:ascii="Times New Roman" w:hAnsi="Times New Roman" w:cs="Times New Roman"/>
          <w:bCs/>
          <w:color w:val="000000"/>
          <w:sz w:val="24"/>
          <w:szCs w:val="24"/>
        </w:rPr>
        <w:t xml:space="preserve"> - </w:t>
      </w:r>
      <w:r w:rsidRPr="00BB024D">
        <w:rPr>
          <w:rFonts w:ascii="Times New Roman" w:hAnsi="Times New Roman" w:cs="Times New Roman"/>
          <w:color w:val="000000"/>
          <w:sz w:val="24"/>
          <w:szCs w:val="24"/>
        </w:rPr>
        <w:t>Quais são as fontes de receita e as despesas a que estão sujeitas as paróquias?</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No nosso entender, as questões aqui colocadas apresentam clareza, exequibilidade e pertinência e são coerentes com a problemática em estudo (Quivy &amp; Campenhoudt, 2005).</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Atendendo a que o objetivo geral desta investigação nos remete para uma análise sobre o comportamento e a atividade de pessoas e de organizações, </w:t>
      </w:r>
      <w:r w:rsidR="000F4630" w:rsidRPr="00BB024D">
        <w:rPr>
          <w:rFonts w:ascii="Times New Roman" w:hAnsi="Times New Roman" w:cs="Times New Roman"/>
          <w:sz w:val="24"/>
          <w:szCs w:val="24"/>
        </w:rPr>
        <w:t>a</w:t>
      </w:r>
      <w:r w:rsidRPr="00BB024D">
        <w:rPr>
          <w:rFonts w:ascii="Times New Roman" w:hAnsi="Times New Roman" w:cs="Times New Roman"/>
          <w:sz w:val="24"/>
          <w:szCs w:val="24"/>
        </w:rPr>
        <w:t>dota</w:t>
      </w:r>
      <w:r w:rsidR="000F4630" w:rsidRPr="00BB024D">
        <w:rPr>
          <w:rFonts w:ascii="Times New Roman" w:hAnsi="Times New Roman" w:cs="Times New Roman"/>
          <w:sz w:val="24"/>
          <w:szCs w:val="24"/>
        </w:rPr>
        <w:t>mos</w:t>
      </w:r>
      <w:r w:rsidRPr="00BB024D">
        <w:rPr>
          <w:rFonts w:ascii="Times New Roman" w:hAnsi="Times New Roman" w:cs="Times New Roman"/>
          <w:sz w:val="24"/>
          <w:szCs w:val="24"/>
        </w:rPr>
        <w:t xml:space="preserve"> uma metodologia qualit</w:t>
      </w:r>
      <w:r w:rsidR="000F4630" w:rsidRPr="00BB024D">
        <w:rPr>
          <w:rFonts w:ascii="Times New Roman" w:hAnsi="Times New Roman" w:cs="Times New Roman"/>
          <w:sz w:val="24"/>
          <w:szCs w:val="24"/>
        </w:rPr>
        <w:t>ativa (Sousa &amp; Baptista, 2011), podendo este estudo ser classificado como descritivo ou exploratório. Os métodos e técnicas de recolha de dados utilizados foram a análise documental e a análise de conteúdo.</w:t>
      </w:r>
    </w:p>
    <w:p w:rsidR="00012B44" w:rsidRDefault="008B3AAD" w:rsidP="009F3FAC">
      <w:pPr>
        <w:pStyle w:val="Cabealho3"/>
        <w:spacing w:before="0"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         </w:t>
      </w:r>
      <w:bookmarkStart w:id="23" w:name="_Toc465894270"/>
      <w:bookmarkStart w:id="24" w:name="_Toc466577208"/>
    </w:p>
    <w:p w:rsidR="008B3AAD" w:rsidRPr="00BB024D" w:rsidRDefault="006C03A7" w:rsidP="009F3FAC">
      <w:pPr>
        <w:pStyle w:val="Cabealho3"/>
        <w:spacing w:before="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F05D0" w:rsidRPr="00BB024D">
        <w:rPr>
          <w:rFonts w:ascii="Times New Roman" w:hAnsi="Times New Roman" w:cs="Times New Roman"/>
          <w:sz w:val="24"/>
          <w:szCs w:val="24"/>
        </w:rPr>
        <w:t>3.1</w:t>
      </w:r>
      <w:r w:rsidR="008B3AAD" w:rsidRPr="00BB024D">
        <w:rPr>
          <w:rFonts w:ascii="Times New Roman" w:hAnsi="Times New Roman" w:cs="Times New Roman"/>
          <w:sz w:val="24"/>
          <w:szCs w:val="24"/>
        </w:rPr>
        <w:t>. Recolha de dados</w:t>
      </w:r>
      <w:bookmarkEnd w:id="23"/>
      <w:bookmarkEnd w:id="24"/>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A nossa escolha para a prossecução da investigação </w:t>
      </w:r>
      <w:r w:rsidR="004D6976" w:rsidRPr="00BB024D">
        <w:rPr>
          <w:rFonts w:ascii="Times New Roman" w:hAnsi="Times New Roman" w:cs="Times New Roman"/>
          <w:sz w:val="24"/>
          <w:szCs w:val="24"/>
        </w:rPr>
        <w:t xml:space="preserve">realizada </w:t>
      </w:r>
      <w:r w:rsidRPr="00BB024D">
        <w:rPr>
          <w:rFonts w:ascii="Times New Roman" w:hAnsi="Times New Roman" w:cs="Times New Roman"/>
          <w:sz w:val="24"/>
          <w:szCs w:val="24"/>
        </w:rPr>
        <w:t xml:space="preserve">recaiu sobre as paróquias, baseando-se no facto de que entre as várias EES, estas ainda não </w:t>
      </w:r>
      <w:r w:rsidR="000F4630" w:rsidRPr="00BB024D">
        <w:rPr>
          <w:rFonts w:ascii="Times New Roman" w:hAnsi="Times New Roman" w:cs="Times New Roman"/>
          <w:sz w:val="24"/>
          <w:szCs w:val="24"/>
        </w:rPr>
        <w:t xml:space="preserve">terem sido </w:t>
      </w:r>
      <w:r w:rsidRPr="00BB024D">
        <w:rPr>
          <w:rFonts w:ascii="Times New Roman" w:hAnsi="Times New Roman" w:cs="Times New Roman"/>
          <w:sz w:val="24"/>
          <w:szCs w:val="24"/>
        </w:rPr>
        <w:t>objeto de qualquer estudo, mas que apresentam uma importância bastante significativa na economia portuguesa.</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Tendo definido o objeto do nosso estudo, determinamos quais seriam as fontes de informação que nos permitiriam recolher os dados necessários para prosseguirmos com a nossa investigação.</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Começamos por efetuar uma análise de conteúdo à página eletrónica do Anuário Católico, no qual foi possível identificar e construir uma listagem com todas as paróquias existentes no país. Posteriormente foi efetuada uma consulta na internet de modo a verificar, quantas destas paróquias possuíam </w:t>
      </w:r>
      <w:r w:rsidRPr="00BB024D">
        <w:rPr>
          <w:rFonts w:ascii="Times New Roman" w:hAnsi="Times New Roman" w:cs="Times New Roman"/>
          <w:i/>
          <w:sz w:val="24"/>
          <w:szCs w:val="24"/>
        </w:rPr>
        <w:t>site</w:t>
      </w:r>
      <w:r w:rsidRPr="00BB024D">
        <w:rPr>
          <w:rFonts w:ascii="Times New Roman" w:hAnsi="Times New Roman" w:cs="Times New Roman"/>
          <w:sz w:val="24"/>
          <w:szCs w:val="24"/>
        </w:rPr>
        <w:t xml:space="preserve"> e que informação era disponibilizada. </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Com a informação recolhida foi possível construir a nossa amostra, com a qual iremos trabalhar de forma a responder às perguntas de investigação e ao objetivo a que nos propusemos.</w:t>
      </w:r>
    </w:p>
    <w:p w:rsidR="008B3AAD" w:rsidRPr="00BB024D" w:rsidRDefault="008B3AAD" w:rsidP="009F3FAC">
      <w:pPr>
        <w:spacing w:after="120" w:line="360" w:lineRule="auto"/>
        <w:jc w:val="both"/>
        <w:rPr>
          <w:rFonts w:ascii="Times New Roman" w:hAnsi="Times New Roman" w:cs="Times New Roman"/>
          <w:sz w:val="24"/>
          <w:szCs w:val="24"/>
        </w:rPr>
      </w:pPr>
    </w:p>
    <w:p w:rsidR="008B3AAD" w:rsidRPr="00BB024D" w:rsidRDefault="006C03A7" w:rsidP="009F3FAC">
      <w:pPr>
        <w:pStyle w:val="Cabealho2"/>
        <w:spacing w:before="0" w:after="120" w:line="360" w:lineRule="auto"/>
        <w:jc w:val="both"/>
        <w:rPr>
          <w:rFonts w:ascii="Times New Roman" w:hAnsi="Times New Roman" w:cs="Times New Roman"/>
          <w:sz w:val="24"/>
          <w:szCs w:val="24"/>
        </w:rPr>
      </w:pPr>
      <w:bookmarkStart w:id="25" w:name="_Toc465894271"/>
      <w:bookmarkStart w:id="26" w:name="_Toc466577209"/>
      <w:r>
        <w:rPr>
          <w:rFonts w:ascii="Times New Roman" w:hAnsi="Times New Roman" w:cs="Times New Roman"/>
          <w:sz w:val="24"/>
          <w:szCs w:val="24"/>
        </w:rPr>
        <w:t xml:space="preserve">     </w:t>
      </w:r>
      <w:r w:rsidR="008B3AAD" w:rsidRPr="00BB024D">
        <w:rPr>
          <w:rFonts w:ascii="Times New Roman" w:hAnsi="Times New Roman" w:cs="Times New Roman"/>
          <w:sz w:val="24"/>
          <w:szCs w:val="24"/>
        </w:rPr>
        <w:t>3.</w:t>
      </w:r>
      <w:r w:rsidR="003F05D0" w:rsidRPr="00BB024D">
        <w:rPr>
          <w:rFonts w:ascii="Times New Roman" w:hAnsi="Times New Roman" w:cs="Times New Roman"/>
          <w:sz w:val="24"/>
          <w:szCs w:val="24"/>
        </w:rPr>
        <w:t>2</w:t>
      </w:r>
      <w:r w:rsidR="008B3AAD" w:rsidRPr="00BB024D">
        <w:rPr>
          <w:rFonts w:ascii="Times New Roman" w:hAnsi="Times New Roman" w:cs="Times New Roman"/>
          <w:sz w:val="24"/>
          <w:szCs w:val="24"/>
        </w:rPr>
        <w:t>. Amostra</w:t>
      </w:r>
      <w:bookmarkEnd w:id="25"/>
      <w:bookmarkEnd w:id="26"/>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lastRenderedPageBreak/>
        <w:t>Como referido anteriormente, a nossa recolha de dados foi efetuada com recurso à página eletrónica do Anuário Católico, nele constam não só as paróquias mas também as dioceses e os arciprestados, bem como os endereços eletrónicos de algumas destas organizações. Foram identificadas 20 dioceses, 192 arciprestados e 4373 paróquias.</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Do universo das 4373 paróquias existentes no país, procurou-se aferir quantas possuíam </w:t>
      </w:r>
      <w:r w:rsidRPr="00BB024D">
        <w:rPr>
          <w:rFonts w:ascii="Times New Roman" w:hAnsi="Times New Roman" w:cs="Times New Roman"/>
          <w:i/>
          <w:sz w:val="24"/>
          <w:szCs w:val="24"/>
        </w:rPr>
        <w:t>site</w:t>
      </w:r>
      <w:r w:rsidRPr="00BB024D">
        <w:rPr>
          <w:rFonts w:ascii="Times New Roman" w:hAnsi="Times New Roman" w:cs="Times New Roman"/>
          <w:sz w:val="24"/>
          <w:szCs w:val="24"/>
        </w:rPr>
        <w:t xml:space="preserve"> na internet. Conseguimos identificar 630 paróquias, que representam cerca de 14,4% da população, como se pode verificar no gráfico </w:t>
      </w:r>
      <w:r w:rsidR="004D6976" w:rsidRPr="00BB024D">
        <w:rPr>
          <w:rFonts w:ascii="Times New Roman" w:hAnsi="Times New Roman" w:cs="Times New Roman"/>
          <w:sz w:val="24"/>
          <w:szCs w:val="24"/>
        </w:rPr>
        <w:t>1</w:t>
      </w:r>
      <w:r w:rsidRPr="00BB024D">
        <w:rPr>
          <w:rFonts w:ascii="Times New Roman" w:hAnsi="Times New Roman" w:cs="Times New Roman"/>
          <w:sz w:val="24"/>
          <w:szCs w:val="24"/>
        </w:rPr>
        <w:t>, que iremos considerar como sendo a amostra desta investigação.</w:t>
      </w:r>
    </w:p>
    <w:p w:rsidR="008B3AAD" w:rsidRPr="00BB024D" w:rsidRDefault="008B3AAD" w:rsidP="00210D28">
      <w:pPr>
        <w:pStyle w:val="Legenda"/>
        <w:keepNext/>
        <w:spacing w:after="0" w:line="480" w:lineRule="auto"/>
        <w:jc w:val="center"/>
        <w:rPr>
          <w:rFonts w:ascii="Times New Roman" w:hAnsi="Times New Roman" w:cs="Times New Roman"/>
          <w:color w:val="auto"/>
          <w:sz w:val="24"/>
          <w:szCs w:val="24"/>
        </w:rPr>
      </w:pPr>
      <w:bookmarkStart w:id="27" w:name="_Toc466499329"/>
      <w:r w:rsidRPr="00BB024D">
        <w:rPr>
          <w:rFonts w:ascii="Times New Roman" w:hAnsi="Times New Roman" w:cs="Times New Roman"/>
          <w:color w:val="auto"/>
          <w:sz w:val="24"/>
          <w:szCs w:val="24"/>
        </w:rPr>
        <w:t xml:space="preserve">Gráfico </w:t>
      </w:r>
      <w:r w:rsidRPr="00BB024D">
        <w:rPr>
          <w:rFonts w:ascii="Times New Roman" w:hAnsi="Times New Roman" w:cs="Times New Roman"/>
          <w:color w:val="auto"/>
          <w:sz w:val="24"/>
          <w:szCs w:val="24"/>
        </w:rPr>
        <w:fldChar w:fldCharType="begin"/>
      </w:r>
      <w:r w:rsidRPr="00BB024D">
        <w:rPr>
          <w:rFonts w:ascii="Times New Roman" w:hAnsi="Times New Roman" w:cs="Times New Roman"/>
          <w:color w:val="auto"/>
          <w:sz w:val="24"/>
          <w:szCs w:val="24"/>
        </w:rPr>
        <w:instrText xml:space="preserve"> SEQ Gráfico \* ARABIC </w:instrText>
      </w:r>
      <w:r w:rsidRPr="00BB024D">
        <w:rPr>
          <w:rFonts w:ascii="Times New Roman" w:hAnsi="Times New Roman" w:cs="Times New Roman"/>
          <w:color w:val="auto"/>
          <w:sz w:val="24"/>
          <w:szCs w:val="24"/>
        </w:rPr>
        <w:fldChar w:fldCharType="separate"/>
      </w:r>
      <w:r w:rsidR="00210D28">
        <w:rPr>
          <w:rFonts w:ascii="Times New Roman" w:hAnsi="Times New Roman" w:cs="Times New Roman"/>
          <w:noProof/>
          <w:color w:val="auto"/>
          <w:sz w:val="24"/>
          <w:szCs w:val="24"/>
        </w:rPr>
        <w:t>1</w:t>
      </w:r>
      <w:r w:rsidRPr="00BB024D">
        <w:rPr>
          <w:rFonts w:ascii="Times New Roman" w:hAnsi="Times New Roman" w:cs="Times New Roman"/>
          <w:color w:val="auto"/>
          <w:sz w:val="24"/>
          <w:szCs w:val="24"/>
        </w:rPr>
        <w:fldChar w:fldCharType="end"/>
      </w:r>
      <w:r w:rsidRPr="00BB024D">
        <w:rPr>
          <w:rFonts w:ascii="Times New Roman" w:hAnsi="Times New Roman" w:cs="Times New Roman"/>
          <w:color w:val="auto"/>
          <w:sz w:val="24"/>
          <w:szCs w:val="24"/>
        </w:rPr>
        <w:t xml:space="preserve"> - Paróquias com </w:t>
      </w:r>
      <w:r w:rsidRPr="00BB024D">
        <w:rPr>
          <w:rFonts w:ascii="Times New Roman" w:hAnsi="Times New Roman" w:cs="Times New Roman"/>
          <w:i/>
          <w:color w:val="auto"/>
          <w:sz w:val="24"/>
          <w:szCs w:val="24"/>
        </w:rPr>
        <w:t>website</w:t>
      </w:r>
      <w:bookmarkEnd w:id="27"/>
    </w:p>
    <w:p w:rsidR="008B3AAD" w:rsidRPr="00BB024D" w:rsidRDefault="008B3AAD" w:rsidP="00210D28">
      <w:pPr>
        <w:spacing w:after="0" w:line="480" w:lineRule="auto"/>
        <w:jc w:val="center"/>
        <w:rPr>
          <w:rFonts w:ascii="Times New Roman" w:hAnsi="Times New Roman" w:cs="Times New Roman"/>
          <w:sz w:val="24"/>
          <w:szCs w:val="24"/>
        </w:rPr>
      </w:pPr>
      <w:r w:rsidRPr="00BB024D">
        <w:rPr>
          <w:rFonts w:ascii="Times New Roman" w:hAnsi="Times New Roman" w:cs="Times New Roman"/>
          <w:noProof/>
          <w:sz w:val="24"/>
          <w:szCs w:val="24"/>
          <w:lang w:eastAsia="pt-PT"/>
        </w:rPr>
        <w:drawing>
          <wp:inline distT="0" distB="0" distL="0" distR="0" wp14:anchorId="3DC9A648" wp14:editId="7BFCE69A">
            <wp:extent cx="3228975" cy="1600200"/>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B3AAD" w:rsidRPr="00012B44" w:rsidRDefault="008B3AAD" w:rsidP="00210D28">
      <w:pPr>
        <w:spacing w:after="0" w:line="480" w:lineRule="auto"/>
        <w:jc w:val="center"/>
        <w:rPr>
          <w:rFonts w:ascii="Times New Roman" w:hAnsi="Times New Roman" w:cs="Times New Roman"/>
          <w:sz w:val="18"/>
          <w:szCs w:val="18"/>
        </w:rPr>
      </w:pPr>
      <w:r w:rsidRPr="00012B44">
        <w:rPr>
          <w:rFonts w:ascii="Times New Roman" w:hAnsi="Times New Roman" w:cs="Times New Roman"/>
          <w:b/>
          <w:sz w:val="18"/>
          <w:szCs w:val="18"/>
        </w:rPr>
        <w:t>Fonte:</w:t>
      </w:r>
      <w:r w:rsidRPr="00012B44">
        <w:rPr>
          <w:rFonts w:ascii="Times New Roman" w:hAnsi="Times New Roman" w:cs="Times New Roman"/>
          <w:sz w:val="18"/>
          <w:szCs w:val="18"/>
        </w:rPr>
        <w:t xml:space="preserve"> Elaboração própria</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De notar que não se trata de uma verdadeira amostra estatística, uma vez que as instituições não foram previamente selecionadas por nós, vimo-nos portanto, na contingência de utilizar aquelas que estavam disponíveis. </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Assim, a nossa amostra apresenta a seguinte dispersão geográfica</w:t>
      </w:r>
    </w:p>
    <w:p w:rsidR="008B3AAD" w:rsidRPr="00BB024D" w:rsidRDefault="008B3AAD" w:rsidP="00210D28">
      <w:pPr>
        <w:pStyle w:val="Legenda"/>
        <w:keepNext/>
        <w:spacing w:after="0" w:line="480" w:lineRule="auto"/>
        <w:jc w:val="center"/>
        <w:rPr>
          <w:rFonts w:ascii="Times New Roman" w:hAnsi="Times New Roman" w:cs="Times New Roman"/>
          <w:color w:val="auto"/>
          <w:sz w:val="24"/>
          <w:szCs w:val="24"/>
        </w:rPr>
      </w:pPr>
      <w:bookmarkStart w:id="28" w:name="_Toc466499319"/>
      <w:r w:rsidRPr="00BB024D">
        <w:rPr>
          <w:rFonts w:ascii="Times New Roman" w:hAnsi="Times New Roman" w:cs="Times New Roman"/>
          <w:color w:val="auto"/>
          <w:sz w:val="24"/>
          <w:szCs w:val="24"/>
        </w:rPr>
        <w:lastRenderedPageBreak/>
        <w:t xml:space="preserve">Tabela </w:t>
      </w:r>
      <w:r w:rsidRPr="00BB024D">
        <w:rPr>
          <w:rFonts w:ascii="Times New Roman" w:hAnsi="Times New Roman" w:cs="Times New Roman"/>
          <w:color w:val="auto"/>
          <w:sz w:val="24"/>
          <w:szCs w:val="24"/>
        </w:rPr>
        <w:fldChar w:fldCharType="begin"/>
      </w:r>
      <w:r w:rsidRPr="00BB024D">
        <w:rPr>
          <w:rFonts w:ascii="Times New Roman" w:hAnsi="Times New Roman" w:cs="Times New Roman"/>
          <w:color w:val="auto"/>
          <w:sz w:val="24"/>
          <w:szCs w:val="24"/>
        </w:rPr>
        <w:instrText xml:space="preserve"> SEQ Tabela \* ARABIC </w:instrText>
      </w:r>
      <w:r w:rsidRPr="00BB024D">
        <w:rPr>
          <w:rFonts w:ascii="Times New Roman" w:hAnsi="Times New Roman" w:cs="Times New Roman"/>
          <w:color w:val="auto"/>
          <w:sz w:val="24"/>
          <w:szCs w:val="24"/>
        </w:rPr>
        <w:fldChar w:fldCharType="separate"/>
      </w:r>
      <w:r w:rsidR="00210D28">
        <w:rPr>
          <w:rFonts w:ascii="Times New Roman" w:hAnsi="Times New Roman" w:cs="Times New Roman"/>
          <w:noProof/>
          <w:color w:val="auto"/>
          <w:sz w:val="24"/>
          <w:szCs w:val="24"/>
        </w:rPr>
        <w:t>1</w:t>
      </w:r>
      <w:r w:rsidRPr="00BB024D">
        <w:rPr>
          <w:rFonts w:ascii="Times New Roman" w:hAnsi="Times New Roman" w:cs="Times New Roman"/>
          <w:color w:val="auto"/>
          <w:sz w:val="24"/>
          <w:szCs w:val="24"/>
        </w:rPr>
        <w:fldChar w:fldCharType="end"/>
      </w:r>
      <w:r w:rsidRPr="00BB024D">
        <w:rPr>
          <w:rFonts w:ascii="Times New Roman" w:hAnsi="Times New Roman" w:cs="Times New Roman"/>
          <w:color w:val="auto"/>
          <w:sz w:val="24"/>
          <w:szCs w:val="24"/>
        </w:rPr>
        <w:t xml:space="preserve"> - Dimensão da População e da Amostra por Diocese</w:t>
      </w:r>
      <w:bookmarkEnd w:id="28"/>
    </w:p>
    <w:p w:rsidR="008B3AAD" w:rsidRPr="00BB024D" w:rsidRDefault="008B3AAD" w:rsidP="00210D28">
      <w:pPr>
        <w:spacing w:after="0" w:line="480" w:lineRule="auto"/>
        <w:jc w:val="center"/>
        <w:rPr>
          <w:rFonts w:ascii="Times New Roman" w:hAnsi="Times New Roman" w:cs="Times New Roman"/>
          <w:sz w:val="24"/>
          <w:szCs w:val="24"/>
        </w:rPr>
      </w:pPr>
      <w:r w:rsidRPr="00BB024D">
        <w:rPr>
          <w:rFonts w:ascii="Times New Roman" w:hAnsi="Times New Roman" w:cs="Times New Roman"/>
          <w:noProof/>
          <w:sz w:val="24"/>
          <w:szCs w:val="24"/>
          <w:lang w:eastAsia="pt-PT"/>
        </w:rPr>
        <w:drawing>
          <wp:inline distT="0" distB="0" distL="0" distR="0" wp14:anchorId="3027A8F8" wp14:editId="7C89F1B4">
            <wp:extent cx="4038600" cy="3442258"/>
            <wp:effectExtent l="0" t="0" r="0" b="6350"/>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46956" cy="3449380"/>
                    </a:xfrm>
                    <a:prstGeom prst="rect">
                      <a:avLst/>
                    </a:prstGeom>
                    <a:noFill/>
                    <a:ln>
                      <a:noFill/>
                    </a:ln>
                  </pic:spPr>
                </pic:pic>
              </a:graphicData>
            </a:graphic>
          </wp:inline>
        </w:drawing>
      </w:r>
    </w:p>
    <w:p w:rsidR="008B3AAD" w:rsidRPr="00012B44" w:rsidRDefault="008B3AAD" w:rsidP="00210D28">
      <w:pPr>
        <w:spacing w:after="0" w:line="480" w:lineRule="auto"/>
        <w:jc w:val="center"/>
        <w:rPr>
          <w:rFonts w:ascii="Times New Roman" w:hAnsi="Times New Roman" w:cs="Times New Roman"/>
          <w:sz w:val="18"/>
          <w:szCs w:val="18"/>
        </w:rPr>
      </w:pPr>
      <w:r w:rsidRPr="00012B44">
        <w:rPr>
          <w:rFonts w:ascii="Times New Roman" w:hAnsi="Times New Roman" w:cs="Times New Roman"/>
          <w:b/>
          <w:sz w:val="18"/>
          <w:szCs w:val="18"/>
        </w:rPr>
        <w:t>Fonte</w:t>
      </w:r>
      <w:r w:rsidRPr="00012B44">
        <w:rPr>
          <w:rFonts w:ascii="Times New Roman" w:hAnsi="Times New Roman" w:cs="Times New Roman"/>
          <w:sz w:val="18"/>
          <w:szCs w:val="18"/>
        </w:rPr>
        <w:t>: Elaboração própria</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Com os dados obtidos, foi possível efetuar diversos cálculos de forma a extrair uma série de informações, nomeadamente a dispersão da amostra por diocese.</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Assim, na tabela anterior, é possível verificar que a nossa amostra é constituída por 630 paróquias, sendo as dioceses mais representativas as de Lisboa (3%), Porto (2%), Coimbra (1,3%), Braga (1,2%) e Funchal (1%). Verifica-se, também uma tendência relativamente à localização geográfica, ou seja, as dioceses localizadas no litoral, ou em zonas mais densamente povoadas têm mais paróquias com página eletrónica comparativamente com aquelas que se localizam no interior ou em zonas com uma população mais reduzida ou localidades mais dispersas.</w:t>
      </w:r>
    </w:p>
    <w:p w:rsidR="000F4630"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Tendo sido identificadas as paróquias com página eletrónica e definida a nossa amostra, efetuou-se uma análise ao conteúdo dos </w:t>
      </w:r>
      <w:r w:rsidRPr="00BB024D">
        <w:rPr>
          <w:rFonts w:ascii="Times New Roman" w:hAnsi="Times New Roman" w:cs="Times New Roman"/>
          <w:i/>
          <w:sz w:val="24"/>
          <w:szCs w:val="24"/>
        </w:rPr>
        <w:t>sites</w:t>
      </w:r>
      <w:r w:rsidRPr="00BB024D">
        <w:rPr>
          <w:rFonts w:ascii="Times New Roman" w:hAnsi="Times New Roman" w:cs="Times New Roman"/>
          <w:sz w:val="24"/>
          <w:szCs w:val="24"/>
        </w:rPr>
        <w:t xml:space="preserve"> de forma a verificar quantas paróquias disponibilizaram informação financeira nos últimos cinco anos, de 2011 a 2015</w:t>
      </w:r>
      <w:r w:rsidR="000F4630" w:rsidRPr="00BB024D">
        <w:rPr>
          <w:rFonts w:ascii="Times New Roman" w:hAnsi="Times New Roman" w:cs="Times New Roman"/>
          <w:sz w:val="24"/>
          <w:szCs w:val="24"/>
        </w:rPr>
        <w:t>.</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Após esta análise, procedemos à recolha das informações financeiras disponíveis e ao seu tratamento informático por forma a quantificar:</w:t>
      </w:r>
    </w:p>
    <w:p w:rsidR="008B3AAD" w:rsidRPr="00BB024D" w:rsidRDefault="008B3AAD" w:rsidP="009F3FAC">
      <w:pPr>
        <w:pStyle w:val="PargrafodaLista"/>
        <w:numPr>
          <w:ilvl w:val="0"/>
          <w:numId w:val="22"/>
        </w:num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O número de paróquias que disponibilizam as suas contas;</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lastRenderedPageBreak/>
        <w:t>Posteriormente efetuou-se a análise aos relatórios financeiros disponibilizados e ao seu conteúdo, através dos quais nos foi possível compreender:</w:t>
      </w:r>
    </w:p>
    <w:p w:rsidR="008B3AAD" w:rsidRPr="00BB024D" w:rsidRDefault="008B3AAD" w:rsidP="009F3FAC">
      <w:pPr>
        <w:pStyle w:val="PargrafodaLista"/>
        <w:numPr>
          <w:ilvl w:val="0"/>
          <w:numId w:val="23"/>
        </w:num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O tipo de informação financeira que é divulgada;</w:t>
      </w:r>
    </w:p>
    <w:p w:rsidR="008B3AAD" w:rsidRPr="00BB024D" w:rsidRDefault="008B3AAD" w:rsidP="009F3FAC">
      <w:pPr>
        <w:pStyle w:val="PargrafodaLista"/>
        <w:numPr>
          <w:ilvl w:val="0"/>
          <w:numId w:val="23"/>
        </w:num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O tipo de receitas e despesas das paróquias.</w:t>
      </w:r>
    </w:p>
    <w:p w:rsidR="004D0360" w:rsidRPr="00BB024D" w:rsidRDefault="004D0360" w:rsidP="009F3FAC">
      <w:pPr>
        <w:spacing w:after="120" w:line="360" w:lineRule="auto"/>
        <w:jc w:val="both"/>
        <w:rPr>
          <w:rFonts w:ascii="Times New Roman" w:hAnsi="Times New Roman" w:cs="Times New Roman"/>
          <w:color w:val="4F81BD" w:themeColor="accent1"/>
          <w:sz w:val="24"/>
          <w:szCs w:val="24"/>
        </w:rPr>
      </w:pPr>
    </w:p>
    <w:p w:rsidR="004D0360" w:rsidRPr="00BB024D" w:rsidRDefault="004D0360" w:rsidP="009F3FAC">
      <w:pPr>
        <w:pStyle w:val="CitaoIntensa"/>
        <w:pBdr>
          <w:bottom w:val="none" w:sz="0" w:space="0" w:color="auto"/>
        </w:pBdr>
        <w:spacing w:before="0" w:after="120" w:line="360" w:lineRule="auto"/>
        <w:ind w:left="0" w:right="0"/>
        <w:outlineLvl w:val="0"/>
        <w:rPr>
          <w:rFonts w:ascii="Times New Roman" w:hAnsi="Times New Roman" w:cs="Times New Roman"/>
          <w:i w:val="0"/>
          <w:sz w:val="24"/>
          <w:szCs w:val="24"/>
        </w:rPr>
      </w:pPr>
      <w:r w:rsidRPr="00BB024D">
        <w:rPr>
          <w:rFonts w:ascii="Times New Roman" w:hAnsi="Times New Roman" w:cs="Times New Roman"/>
          <w:i w:val="0"/>
          <w:sz w:val="24"/>
          <w:szCs w:val="24"/>
        </w:rPr>
        <w:t>4. Resultados obtidos</w:t>
      </w:r>
    </w:p>
    <w:p w:rsidR="008B3AAD" w:rsidRPr="00BB024D" w:rsidRDefault="008B3AAD" w:rsidP="009F3FAC">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Iremos de seguida analisar e apresentar os dados recolhidos tendo como referência os pontos indicados anteriormente.</w:t>
      </w:r>
    </w:p>
    <w:p w:rsidR="00CC030A" w:rsidRDefault="00CC030A" w:rsidP="009F3FAC">
      <w:pPr>
        <w:pStyle w:val="Cabealho3"/>
        <w:spacing w:before="0" w:after="120" w:line="360" w:lineRule="auto"/>
        <w:jc w:val="both"/>
        <w:rPr>
          <w:rFonts w:ascii="Times New Roman" w:hAnsi="Times New Roman" w:cs="Times New Roman"/>
          <w:sz w:val="24"/>
          <w:szCs w:val="24"/>
        </w:rPr>
      </w:pPr>
    </w:p>
    <w:p w:rsidR="008B3AAD" w:rsidRPr="00BB024D" w:rsidRDefault="008B3AAD" w:rsidP="009F3FAC">
      <w:pPr>
        <w:pStyle w:val="Cabealho3"/>
        <w:spacing w:before="0"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 </w:t>
      </w:r>
      <w:bookmarkStart w:id="29" w:name="_Toc465894273"/>
      <w:bookmarkStart w:id="30" w:name="_Toc466577211"/>
      <w:r w:rsidR="004D6976" w:rsidRPr="00BB024D">
        <w:rPr>
          <w:rFonts w:ascii="Times New Roman" w:hAnsi="Times New Roman" w:cs="Times New Roman"/>
          <w:sz w:val="24"/>
          <w:szCs w:val="24"/>
        </w:rPr>
        <w:tab/>
      </w:r>
      <w:r w:rsidRPr="00BB024D">
        <w:rPr>
          <w:rFonts w:ascii="Times New Roman" w:hAnsi="Times New Roman" w:cs="Times New Roman"/>
          <w:sz w:val="24"/>
          <w:szCs w:val="24"/>
        </w:rPr>
        <w:t>4.1. Paróquias que disponibilizam as suas contas</w:t>
      </w:r>
      <w:bookmarkEnd w:id="29"/>
      <w:bookmarkEnd w:id="30"/>
    </w:p>
    <w:p w:rsidR="008B3AA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Da amostra de 630 paróquias com </w:t>
      </w:r>
      <w:r w:rsidRPr="00BB024D">
        <w:rPr>
          <w:rFonts w:ascii="Times New Roman" w:hAnsi="Times New Roman" w:cs="Times New Roman"/>
          <w:i/>
          <w:sz w:val="24"/>
          <w:szCs w:val="24"/>
        </w:rPr>
        <w:t>site</w:t>
      </w:r>
      <w:r w:rsidRPr="00BB024D">
        <w:rPr>
          <w:rFonts w:ascii="Times New Roman" w:hAnsi="Times New Roman" w:cs="Times New Roman"/>
          <w:sz w:val="24"/>
          <w:szCs w:val="24"/>
        </w:rPr>
        <w:t xml:space="preserve">, apenas uma minoria publica as suas contas, como se pode verificar na tabela </w:t>
      </w:r>
      <w:r w:rsidR="004D6976" w:rsidRPr="00BB024D">
        <w:rPr>
          <w:rFonts w:ascii="Times New Roman" w:hAnsi="Times New Roman" w:cs="Times New Roman"/>
          <w:sz w:val="24"/>
          <w:szCs w:val="24"/>
        </w:rPr>
        <w:t>2</w:t>
      </w:r>
      <w:r w:rsidRPr="00BB024D">
        <w:rPr>
          <w:rFonts w:ascii="Times New Roman" w:hAnsi="Times New Roman" w:cs="Times New Roman"/>
          <w:sz w:val="24"/>
          <w:szCs w:val="24"/>
        </w:rPr>
        <w:t>.</w:t>
      </w:r>
    </w:p>
    <w:p w:rsidR="008B3AAD" w:rsidRPr="00BB024D" w:rsidRDefault="008B3AAD" w:rsidP="00210D28">
      <w:pPr>
        <w:pStyle w:val="Legenda"/>
        <w:keepNext/>
        <w:spacing w:after="0" w:line="480" w:lineRule="auto"/>
        <w:jc w:val="center"/>
        <w:rPr>
          <w:rFonts w:ascii="Times New Roman" w:hAnsi="Times New Roman" w:cs="Times New Roman"/>
          <w:color w:val="auto"/>
          <w:sz w:val="24"/>
          <w:szCs w:val="24"/>
        </w:rPr>
      </w:pPr>
      <w:bookmarkStart w:id="31" w:name="_Toc466499320"/>
      <w:r w:rsidRPr="00BB024D">
        <w:rPr>
          <w:rFonts w:ascii="Times New Roman" w:hAnsi="Times New Roman" w:cs="Times New Roman"/>
          <w:color w:val="auto"/>
          <w:sz w:val="24"/>
          <w:szCs w:val="24"/>
        </w:rPr>
        <w:t xml:space="preserve">Tabela </w:t>
      </w:r>
      <w:r w:rsidRPr="00BB024D">
        <w:rPr>
          <w:rFonts w:ascii="Times New Roman" w:hAnsi="Times New Roman" w:cs="Times New Roman"/>
          <w:color w:val="auto"/>
          <w:sz w:val="24"/>
          <w:szCs w:val="24"/>
        </w:rPr>
        <w:fldChar w:fldCharType="begin"/>
      </w:r>
      <w:r w:rsidRPr="00BB024D">
        <w:rPr>
          <w:rFonts w:ascii="Times New Roman" w:hAnsi="Times New Roman" w:cs="Times New Roman"/>
          <w:color w:val="auto"/>
          <w:sz w:val="24"/>
          <w:szCs w:val="24"/>
        </w:rPr>
        <w:instrText xml:space="preserve"> SEQ Tabela \* ARABIC </w:instrText>
      </w:r>
      <w:r w:rsidRPr="00BB024D">
        <w:rPr>
          <w:rFonts w:ascii="Times New Roman" w:hAnsi="Times New Roman" w:cs="Times New Roman"/>
          <w:color w:val="auto"/>
          <w:sz w:val="24"/>
          <w:szCs w:val="24"/>
        </w:rPr>
        <w:fldChar w:fldCharType="separate"/>
      </w:r>
      <w:r w:rsidR="00210D28">
        <w:rPr>
          <w:rFonts w:ascii="Times New Roman" w:hAnsi="Times New Roman" w:cs="Times New Roman"/>
          <w:noProof/>
          <w:color w:val="auto"/>
          <w:sz w:val="24"/>
          <w:szCs w:val="24"/>
        </w:rPr>
        <w:t>2</w:t>
      </w:r>
      <w:r w:rsidRPr="00BB024D">
        <w:rPr>
          <w:rFonts w:ascii="Times New Roman" w:hAnsi="Times New Roman" w:cs="Times New Roman"/>
          <w:color w:val="auto"/>
          <w:sz w:val="24"/>
          <w:szCs w:val="24"/>
        </w:rPr>
        <w:fldChar w:fldCharType="end"/>
      </w:r>
      <w:r w:rsidRPr="00BB024D">
        <w:rPr>
          <w:rFonts w:ascii="Times New Roman" w:hAnsi="Times New Roman" w:cs="Times New Roman"/>
          <w:color w:val="auto"/>
          <w:sz w:val="24"/>
          <w:szCs w:val="24"/>
        </w:rPr>
        <w:t xml:space="preserve"> - Total de contas publicadas</w:t>
      </w:r>
      <w:bookmarkEnd w:id="31"/>
    </w:p>
    <w:p w:rsidR="008B3AAD" w:rsidRPr="00BB024D" w:rsidRDefault="008B3AAD" w:rsidP="00210D28">
      <w:pPr>
        <w:spacing w:after="0" w:line="480" w:lineRule="auto"/>
        <w:jc w:val="center"/>
        <w:rPr>
          <w:rFonts w:ascii="Times New Roman" w:hAnsi="Times New Roman" w:cs="Times New Roman"/>
          <w:b/>
          <w:sz w:val="24"/>
          <w:szCs w:val="24"/>
        </w:rPr>
      </w:pPr>
      <w:r w:rsidRPr="00BB024D">
        <w:rPr>
          <w:rFonts w:ascii="Times New Roman" w:hAnsi="Times New Roman" w:cs="Times New Roman"/>
          <w:noProof/>
          <w:sz w:val="24"/>
          <w:szCs w:val="24"/>
          <w:lang w:eastAsia="pt-PT"/>
        </w:rPr>
        <w:drawing>
          <wp:inline distT="0" distB="0" distL="0" distR="0" wp14:anchorId="530A8EC2" wp14:editId="571398CB">
            <wp:extent cx="4114800" cy="3644191"/>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22674" cy="3651165"/>
                    </a:xfrm>
                    <a:prstGeom prst="rect">
                      <a:avLst/>
                    </a:prstGeom>
                    <a:noFill/>
                    <a:ln>
                      <a:noFill/>
                    </a:ln>
                  </pic:spPr>
                </pic:pic>
              </a:graphicData>
            </a:graphic>
          </wp:inline>
        </w:drawing>
      </w:r>
    </w:p>
    <w:p w:rsidR="008B3AAD" w:rsidRPr="00012B44" w:rsidRDefault="008B3AAD" w:rsidP="00210D28">
      <w:pPr>
        <w:spacing w:after="0" w:line="480" w:lineRule="auto"/>
        <w:jc w:val="center"/>
        <w:rPr>
          <w:rFonts w:ascii="Times New Roman" w:hAnsi="Times New Roman" w:cs="Times New Roman"/>
          <w:sz w:val="18"/>
          <w:szCs w:val="18"/>
        </w:rPr>
      </w:pPr>
      <w:r w:rsidRPr="00012B44">
        <w:rPr>
          <w:rFonts w:ascii="Times New Roman" w:hAnsi="Times New Roman" w:cs="Times New Roman"/>
          <w:b/>
          <w:sz w:val="18"/>
          <w:szCs w:val="18"/>
        </w:rPr>
        <w:t>Fonte:</w:t>
      </w:r>
      <w:r w:rsidRPr="00012B44">
        <w:rPr>
          <w:rFonts w:ascii="Times New Roman" w:hAnsi="Times New Roman" w:cs="Times New Roman"/>
          <w:sz w:val="18"/>
          <w:szCs w:val="18"/>
        </w:rPr>
        <w:t xml:space="preserve"> Elaboração própria</w:t>
      </w:r>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A informação recolhida foi compilada nesta tabela que nos mostra o número de paróquias com </w:t>
      </w:r>
      <w:r w:rsidRPr="00BB024D">
        <w:rPr>
          <w:rFonts w:ascii="Times New Roman" w:hAnsi="Times New Roman" w:cs="Times New Roman"/>
          <w:i/>
          <w:sz w:val="24"/>
          <w:szCs w:val="24"/>
        </w:rPr>
        <w:t>website</w:t>
      </w:r>
      <w:r w:rsidRPr="00BB024D">
        <w:rPr>
          <w:rFonts w:ascii="Times New Roman" w:hAnsi="Times New Roman" w:cs="Times New Roman"/>
          <w:sz w:val="24"/>
          <w:szCs w:val="24"/>
        </w:rPr>
        <w:t xml:space="preserve"> e destas quais apresentam as suas contas publicadas. Como se pode constatar na </w:t>
      </w:r>
      <w:r w:rsidRPr="00BB024D">
        <w:rPr>
          <w:rFonts w:ascii="Times New Roman" w:hAnsi="Times New Roman" w:cs="Times New Roman"/>
          <w:sz w:val="24"/>
          <w:szCs w:val="24"/>
        </w:rPr>
        <w:lastRenderedPageBreak/>
        <w:t>tabela anterior o número de paróquias com contas publicadas, no período compreendido entre 2011 e 2015 tem vindo a aumentar, no entanto continua a haver muito pouca divulgação por este meio. De salientar, que as paróquias que publicam as suas contas pertencem às dioceses de: Braga (16), Viana do Castelo e Lisboa (8), Leiria-Fátima (6), Porto (5) e Aveiro (1).</w:t>
      </w:r>
    </w:p>
    <w:p w:rsidR="008B3AAD" w:rsidRPr="00BB024D" w:rsidRDefault="008B3AAD" w:rsidP="00A63824">
      <w:pPr>
        <w:spacing w:after="120" w:line="360" w:lineRule="auto"/>
        <w:jc w:val="both"/>
        <w:rPr>
          <w:rFonts w:ascii="Times New Roman" w:hAnsi="Times New Roman" w:cs="Times New Roman"/>
          <w:sz w:val="24"/>
          <w:szCs w:val="24"/>
        </w:rPr>
      </w:pPr>
    </w:p>
    <w:p w:rsidR="008B3AAD" w:rsidRPr="00BB024D" w:rsidRDefault="008B3AAD" w:rsidP="00A63824">
      <w:pPr>
        <w:pStyle w:val="Cabealho3"/>
        <w:spacing w:before="0"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         </w:t>
      </w:r>
      <w:bookmarkStart w:id="32" w:name="_Toc465894275"/>
      <w:bookmarkStart w:id="33" w:name="_Toc466577213"/>
      <w:r w:rsidR="00E32B9C" w:rsidRPr="00BB024D">
        <w:rPr>
          <w:rFonts w:ascii="Times New Roman" w:hAnsi="Times New Roman" w:cs="Times New Roman"/>
          <w:sz w:val="24"/>
          <w:szCs w:val="24"/>
        </w:rPr>
        <w:t>4</w:t>
      </w:r>
      <w:r w:rsidRPr="00BB024D">
        <w:rPr>
          <w:rFonts w:ascii="Times New Roman" w:hAnsi="Times New Roman" w:cs="Times New Roman"/>
          <w:sz w:val="24"/>
          <w:szCs w:val="24"/>
        </w:rPr>
        <w:t>.</w:t>
      </w:r>
      <w:r w:rsidR="00E32B9C" w:rsidRPr="00BB024D">
        <w:rPr>
          <w:rFonts w:ascii="Times New Roman" w:hAnsi="Times New Roman" w:cs="Times New Roman"/>
          <w:sz w:val="24"/>
          <w:szCs w:val="24"/>
        </w:rPr>
        <w:t>2</w:t>
      </w:r>
      <w:r w:rsidRPr="00BB024D">
        <w:rPr>
          <w:rFonts w:ascii="Times New Roman" w:hAnsi="Times New Roman" w:cs="Times New Roman"/>
          <w:sz w:val="24"/>
          <w:szCs w:val="24"/>
        </w:rPr>
        <w:t>. Tipo de informação financeira divulgada</w:t>
      </w:r>
      <w:bookmarkEnd w:id="32"/>
      <w:bookmarkEnd w:id="33"/>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A informação financeira divulgada por estas entidades é muito diminuta e apresentada de forma um tanto rudimentar. Respondendo à nossa QI 2, podemos verificar que não é divulgada qualquer tipo de demonstração financeira, tal como balanço, demonstração dos resultados ou anexo, nem é apresentado nenhum relatório de gestão. As informações divulgadas, na sua maioria, têm por base um mapa resumo de receitas e despesas que é posteriormente publicado nos </w:t>
      </w:r>
      <w:r w:rsidRPr="00BB024D">
        <w:rPr>
          <w:rFonts w:ascii="Times New Roman" w:hAnsi="Times New Roman" w:cs="Times New Roman"/>
          <w:i/>
          <w:sz w:val="24"/>
          <w:szCs w:val="24"/>
        </w:rPr>
        <w:t>sites</w:t>
      </w:r>
      <w:r w:rsidRPr="00BB024D">
        <w:rPr>
          <w:rFonts w:ascii="Times New Roman" w:hAnsi="Times New Roman" w:cs="Times New Roman"/>
          <w:sz w:val="24"/>
          <w:szCs w:val="24"/>
        </w:rPr>
        <w:t xml:space="preserve"> das paróquias. Em alguns casos é publicado o boletim paroquial em formato </w:t>
      </w:r>
      <w:r w:rsidRPr="00BB024D">
        <w:rPr>
          <w:rFonts w:ascii="Times New Roman" w:hAnsi="Times New Roman" w:cs="Times New Roman"/>
          <w:i/>
          <w:sz w:val="24"/>
          <w:szCs w:val="24"/>
        </w:rPr>
        <w:t>portable document format</w:t>
      </w:r>
      <w:r w:rsidRPr="00BB024D">
        <w:rPr>
          <w:rFonts w:ascii="Times New Roman" w:hAnsi="Times New Roman" w:cs="Times New Roman"/>
          <w:sz w:val="24"/>
          <w:szCs w:val="24"/>
        </w:rPr>
        <w:t xml:space="preserve"> (pdf) com o resumo das contas do ano. Verifica-se que não há uma uniformização de critérios na apresentação de contas.</w:t>
      </w:r>
    </w:p>
    <w:p w:rsidR="008B3AAD" w:rsidRPr="00BB024D" w:rsidRDefault="008B3AAD" w:rsidP="00A63824">
      <w:pPr>
        <w:pStyle w:val="Cabealho3"/>
        <w:spacing w:before="0"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         </w:t>
      </w:r>
      <w:bookmarkStart w:id="34" w:name="_Toc465894276"/>
      <w:bookmarkStart w:id="35" w:name="_Toc466577214"/>
      <w:r w:rsidR="00E32B9C" w:rsidRPr="00BB024D">
        <w:rPr>
          <w:rFonts w:ascii="Times New Roman" w:hAnsi="Times New Roman" w:cs="Times New Roman"/>
          <w:sz w:val="24"/>
          <w:szCs w:val="24"/>
        </w:rPr>
        <w:t>4</w:t>
      </w:r>
      <w:r w:rsidRPr="00BB024D">
        <w:rPr>
          <w:rFonts w:ascii="Times New Roman" w:hAnsi="Times New Roman" w:cs="Times New Roman"/>
          <w:sz w:val="24"/>
          <w:szCs w:val="24"/>
        </w:rPr>
        <w:t>.</w:t>
      </w:r>
      <w:r w:rsidR="00E32B9C" w:rsidRPr="00BB024D">
        <w:rPr>
          <w:rFonts w:ascii="Times New Roman" w:hAnsi="Times New Roman" w:cs="Times New Roman"/>
          <w:sz w:val="24"/>
          <w:szCs w:val="24"/>
        </w:rPr>
        <w:t>3</w:t>
      </w:r>
      <w:r w:rsidRPr="00BB024D">
        <w:rPr>
          <w:rFonts w:ascii="Times New Roman" w:hAnsi="Times New Roman" w:cs="Times New Roman"/>
          <w:sz w:val="24"/>
          <w:szCs w:val="24"/>
        </w:rPr>
        <w:t>. Tipo de receitas e despesas das paróquias</w:t>
      </w:r>
      <w:bookmarkEnd w:id="34"/>
      <w:bookmarkEnd w:id="35"/>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Aproveitando os dados recolhidos através da publicação da informação financeira nas páginas eletrónicas das paróquias, embora a amostra seja muito reduzida, foi possível fazer a compilação dos dados e perceber quais são as principais receitas e os principais gastos que as paróquias incorrem na sua missão de evangelização.</w:t>
      </w:r>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Das 44 contas publicadas nos </w:t>
      </w:r>
      <w:r w:rsidRPr="00BB024D">
        <w:rPr>
          <w:rFonts w:ascii="Times New Roman" w:hAnsi="Times New Roman" w:cs="Times New Roman"/>
          <w:i/>
          <w:sz w:val="24"/>
          <w:szCs w:val="24"/>
        </w:rPr>
        <w:t xml:space="preserve">sites, </w:t>
      </w:r>
      <w:r w:rsidRPr="00BB024D">
        <w:rPr>
          <w:rFonts w:ascii="Times New Roman" w:hAnsi="Times New Roman" w:cs="Times New Roman"/>
          <w:sz w:val="24"/>
          <w:szCs w:val="24"/>
        </w:rPr>
        <w:t>no período compreendido entre 2011 e 2015, foram utilizadas apenas 26, uma vez que as restantes não estavam devidamente discriminadas ou apenas apresentavam os resultados totais.</w:t>
      </w:r>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Ao analisar o seu conteúdo deparamo-nos com uma enorme variedade de designações tanto para as receitas como para as despesas.</w:t>
      </w:r>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Neste sentido optou-se por agrupar as mesmas por naturezas. Assim, nas receitas obtivemos as rubricas que se apresentam no quadro seguinte, com a respetiva discriminação daquilo que foi incluído em cada uma delas.</w:t>
      </w:r>
    </w:p>
    <w:p w:rsidR="008B3AAD" w:rsidRPr="00BB024D" w:rsidRDefault="008B3AAD" w:rsidP="00210D28">
      <w:pPr>
        <w:pStyle w:val="Legenda"/>
        <w:spacing w:after="0" w:line="480" w:lineRule="auto"/>
        <w:jc w:val="center"/>
        <w:rPr>
          <w:rFonts w:ascii="Times New Roman" w:hAnsi="Times New Roman" w:cs="Times New Roman"/>
          <w:b w:val="0"/>
          <w:color w:val="auto"/>
          <w:sz w:val="24"/>
          <w:szCs w:val="24"/>
        </w:rPr>
      </w:pPr>
      <w:bookmarkStart w:id="36" w:name="_Toc466499303"/>
      <w:r w:rsidRPr="00BB024D">
        <w:rPr>
          <w:rFonts w:ascii="Times New Roman" w:hAnsi="Times New Roman" w:cs="Times New Roman"/>
          <w:color w:val="auto"/>
          <w:sz w:val="24"/>
          <w:szCs w:val="24"/>
        </w:rPr>
        <w:t xml:space="preserve">Quadro </w:t>
      </w:r>
      <w:r w:rsidR="00633CD9" w:rsidRPr="00BB024D">
        <w:rPr>
          <w:rFonts w:ascii="Times New Roman" w:hAnsi="Times New Roman" w:cs="Times New Roman"/>
          <w:color w:val="auto"/>
          <w:sz w:val="24"/>
          <w:szCs w:val="24"/>
        </w:rPr>
        <w:t>1</w:t>
      </w:r>
      <w:r w:rsidRPr="00BB024D">
        <w:rPr>
          <w:rFonts w:ascii="Times New Roman" w:hAnsi="Times New Roman" w:cs="Times New Roman"/>
          <w:color w:val="auto"/>
          <w:sz w:val="24"/>
          <w:szCs w:val="24"/>
        </w:rPr>
        <w:t xml:space="preserve"> - Discriminação das principais receitas das paróquias</w:t>
      </w:r>
      <w:bookmarkEnd w:id="36"/>
    </w:p>
    <w:tbl>
      <w:tblPr>
        <w:tblStyle w:val="Tabelacomgrelha"/>
        <w:tblW w:w="0" w:type="auto"/>
        <w:jc w:val="center"/>
        <w:tblLook w:val="04A0" w:firstRow="1" w:lastRow="0" w:firstColumn="1" w:lastColumn="0" w:noHBand="0" w:noVBand="1"/>
      </w:tblPr>
      <w:tblGrid>
        <w:gridCol w:w="2843"/>
        <w:gridCol w:w="6125"/>
      </w:tblGrid>
      <w:tr w:rsidR="008B3AAD" w:rsidRPr="00BB024D" w:rsidTr="00CC030A">
        <w:trPr>
          <w:jc w:val="center"/>
        </w:trPr>
        <w:tc>
          <w:tcPr>
            <w:tcW w:w="2802" w:type="dxa"/>
            <w:shd w:val="clear" w:color="auto" w:fill="C6D9F1" w:themeFill="text2" w:themeFillTint="33"/>
            <w:vAlign w:val="center"/>
          </w:tcPr>
          <w:p w:rsidR="008B3AAD" w:rsidRPr="00BB024D" w:rsidRDefault="008B3AAD" w:rsidP="006C03A7">
            <w:pPr>
              <w:spacing w:line="276" w:lineRule="auto"/>
              <w:jc w:val="center"/>
              <w:rPr>
                <w:rFonts w:ascii="Times New Roman" w:hAnsi="Times New Roman" w:cs="Times New Roman"/>
                <w:b/>
                <w:sz w:val="24"/>
                <w:szCs w:val="24"/>
              </w:rPr>
            </w:pPr>
            <w:r w:rsidRPr="00BB024D">
              <w:rPr>
                <w:rFonts w:ascii="Times New Roman" w:hAnsi="Times New Roman" w:cs="Times New Roman"/>
                <w:b/>
                <w:sz w:val="24"/>
                <w:szCs w:val="24"/>
              </w:rPr>
              <w:t>Rubricas da receita</w:t>
            </w:r>
          </w:p>
        </w:tc>
        <w:tc>
          <w:tcPr>
            <w:tcW w:w="6125" w:type="dxa"/>
            <w:shd w:val="clear" w:color="auto" w:fill="C6D9F1" w:themeFill="text2" w:themeFillTint="33"/>
            <w:vAlign w:val="center"/>
          </w:tcPr>
          <w:p w:rsidR="008B3AAD" w:rsidRPr="00BB024D" w:rsidRDefault="008B3AAD" w:rsidP="006C03A7">
            <w:pPr>
              <w:spacing w:line="276" w:lineRule="auto"/>
              <w:jc w:val="center"/>
              <w:rPr>
                <w:rFonts w:ascii="Times New Roman" w:hAnsi="Times New Roman" w:cs="Times New Roman"/>
                <w:b/>
                <w:sz w:val="24"/>
                <w:szCs w:val="24"/>
              </w:rPr>
            </w:pPr>
            <w:r w:rsidRPr="00BB024D">
              <w:rPr>
                <w:rFonts w:ascii="Times New Roman" w:hAnsi="Times New Roman" w:cs="Times New Roman"/>
                <w:b/>
                <w:sz w:val="24"/>
                <w:szCs w:val="24"/>
              </w:rPr>
              <w:t>Discriminação</w:t>
            </w:r>
          </w:p>
        </w:tc>
      </w:tr>
      <w:tr w:rsidR="008B3AAD" w:rsidRPr="00BB024D" w:rsidTr="00CC030A">
        <w:trPr>
          <w:jc w:val="center"/>
        </w:trPr>
        <w:tc>
          <w:tcPr>
            <w:tcW w:w="2802"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Contributo paroquial</w:t>
            </w:r>
          </w:p>
        </w:tc>
        <w:tc>
          <w:tcPr>
            <w:tcW w:w="6125"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Contributo paroquial (côngrua); folar Pascal.</w:t>
            </w:r>
          </w:p>
        </w:tc>
      </w:tr>
      <w:tr w:rsidR="008B3AAD" w:rsidRPr="00BB024D" w:rsidTr="00CC030A">
        <w:trPr>
          <w:jc w:val="center"/>
        </w:trPr>
        <w:tc>
          <w:tcPr>
            <w:tcW w:w="2802"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Emolumentos/Sacramentos</w:t>
            </w:r>
          </w:p>
        </w:tc>
        <w:tc>
          <w:tcPr>
            <w:tcW w:w="6125"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 xml:space="preserve">Batizados; matrimónios; exéquias fúnebres; taxas de </w:t>
            </w:r>
            <w:r w:rsidRPr="00BB024D">
              <w:rPr>
                <w:rFonts w:ascii="Times New Roman" w:hAnsi="Times New Roman" w:cs="Times New Roman"/>
                <w:sz w:val="24"/>
                <w:szCs w:val="24"/>
              </w:rPr>
              <w:lastRenderedPageBreak/>
              <w:t>certidões; processos de batismo e matrimónio.</w:t>
            </w:r>
          </w:p>
        </w:tc>
      </w:tr>
      <w:tr w:rsidR="008B3AAD" w:rsidRPr="00BB024D" w:rsidTr="00CC030A">
        <w:trPr>
          <w:jc w:val="center"/>
        </w:trPr>
        <w:tc>
          <w:tcPr>
            <w:tcW w:w="2802"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lastRenderedPageBreak/>
              <w:t>Culto divino</w:t>
            </w:r>
          </w:p>
        </w:tc>
        <w:tc>
          <w:tcPr>
            <w:tcW w:w="6125"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Intenções de missas.</w:t>
            </w:r>
          </w:p>
        </w:tc>
      </w:tr>
      <w:tr w:rsidR="008B3AAD" w:rsidRPr="00BB024D" w:rsidTr="00CC030A">
        <w:trPr>
          <w:jc w:val="center"/>
        </w:trPr>
        <w:tc>
          <w:tcPr>
            <w:tcW w:w="2802"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Ofertórios</w:t>
            </w:r>
          </w:p>
        </w:tc>
        <w:tc>
          <w:tcPr>
            <w:tcW w:w="6125"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Ofertórios das missas; caixas de ofertas; lampadários; promessas e cumprimento de votos.</w:t>
            </w:r>
          </w:p>
        </w:tc>
      </w:tr>
      <w:tr w:rsidR="008B3AAD" w:rsidRPr="00BB024D" w:rsidTr="00CC030A">
        <w:trPr>
          <w:jc w:val="center"/>
        </w:trPr>
        <w:tc>
          <w:tcPr>
            <w:tcW w:w="2802"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Aluguer de instalações</w:t>
            </w:r>
          </w:p>
        </w:tc>
        <w:tc>
          <w:tcPr>
            <w:tcW w:w="6125"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Pensão paroquial; aluguer do salão paroquial; aluguer de salas.</w:t>
            </w:r>
          </w:p>
        </w:tc>
      </w:tr>
      <w:tr w:rsidR="008B3AAD" w:rsidRPr="00BB024D" w:rsidTr="00CC030A">
        <w:trPr>
          <w:jc w:val="center"/>
        </w:trPr>
        <w:tc>
          <w:tcPr>
            <w:tcW w:w="2802"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Donativos/Subsídios</w:t>
            </w:r>
          </w:p>
        </w:tc>
        <w:tc>
          <w:tcPr>
            <w:tcW w:w="6125"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Donativos concedidos; subsídios das Câmaras Municipais e Juntas de Freguesia.</w:t>
            </w:r>
          </w:p>
        </w:tc>
      </w:tr>
      <w:tr w:rsidR="008B3AAD" w:rsidRPr="00BB024D" w:rsidTr="00CC030A">
        <w:trPr>
          <w:jc w:val="center"/>
        </w:trPr>
        <w:tc>
          <w:tcPr>
            <w:tcW w:w="2802"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Saldos de festas religiosas</w:t>
            </w:r>
          </w:p>
        </w:tc>
        <w:tc>
          <w:tcPr>
            <w:tcW w:w="6125"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Saldos das festas religiosas que revertem para a paróquia.</w:t>
            </w:r>
          </w:p>
        </w:tc>
      </w:tr>
      <w:tr w:rsidR="008B3AAD" w:rsidRPr="00BB024D" w:rsidTr="00CC030A">
        <w:trPr>
          <w:jc w:val="center"/>
        </w:trPr>
        <w:tc>
          <w:tcPr>
            <w:tcW w:w="2802"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Restituição de impostos</w:t>
            </w:r>
          </w:p>
        </w:tc>
        <w:tc>
          <w:tcPr>
            <w:tcW w:w="6125"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Reembolso de IVA.</w:t>
            </w:r>
          </w:p>
        </w:tc>
      </w:tr>
      <w:tr w:rsidR="008B3AAD" w:rsidRPr="00BB024D" w:rsidTr="00CC030A">
        <w:trPr>
          <w:jc w:val="center"/>
        </w:trPr>
        <w:tc>
          <w:tcPr>
            <w:tcW w:w="2802"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Ofertas para obras</w:t>
            </w:r>
          </w:p>
        </w:tc>
        <w:tc>
          <w:tcPr>
            <w:tcW w:w="6125"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Ofertas para obras nas igrejas.</w:t>
            </w:r>
          </w:p>
        </w:tc>
      </w:tr>
      <w:tr w:rsidR="008B3AAD" w:rsidRPr="00BB024D" w:rsidTr="00CC030A">
        <w:trPr>
          <w:jc w:val="center"/>
        </w:trPr>
        <w:tc>
          <w:tcPr>
            <w:tcW w:w="2802"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Receitas diversas</w:t>
            </w:r>
          </w:p>
        </w:tc>
        <w:tc>
          <w:tcPr>
            <w:tcW w:w="6125" w:type="dxa"/>
            <w:vAlign w:val="center"/>
          </w:tcPr>
          <w:p w:rsidR="008B3AAD" w:rsidRPr="00BB024D" w:rsidRDefault="008B3AAD" w:rsidP="006C03A7">
            <w:pPr>
              <w:spacing w:line="276" w:lineRule="auto"/>
              <w:rPr>
                <w:rFonts w:ascii="Times New Roman" w:hAnsi="Times New Roman" w:cs="Times New Roman"/>
                <w:sz w:val="24"/>
                <w:szCs w:val="24"/>
              </w:rPr>
            </w:pPr>
            <w:r w:rsidRPr="00BB024D">
              <w:rPr>
                <w:rFonts w:ascii="Times New Roman" w:hAnsi="Times New Roman" w:cs="Times New Roman"/>
                <w:sz w:val="24"/>
                <w:szCs w:val="24"/>
              </w:rPr>
              <w:t>Contribuição das igrejas não paroquiais, capelas, confrarias e irmandades; juros de contas bancárias; venda de ouro oferecido; venda de velas; inscrição na catequese; atividades recreativas, lúdicas e culturais; bíblias e catecismos; vendas no bar da paróquia.</w:t>
            </w:r>
          </w:p>
        </w:tc>
      </w:tr>
    </w:tbl>
    <w:p w:rsidR="008B3AAD" w:rsidRPr="00012B44" w:rsidRDefault="008B3AAD" w:rsidP="00210D28">
      <w:pPr>
        <w:spacing w:after="0" w:line="480" w:lineRule="auto"/>
        <w:jc w:val="center"/>
        <w:rPr>
          <w:rFonts w:ascii="Times New Roman" w:hAnsi="Times New Roman" w:cs="Times New Roman"/>
          <w:sz w:val="18"/>
          <w:szCs w:val="18"/>
        </w:rPr>
      </w:pPr>
      <w:r w:rsidRPr="00012B44">
        <w:rPr>
          <w:rFonts w:ascii="Times New Roman" w:hAnsi="Times New Roman" w:cs="Times New Roman"/>
          <w:b/>
          <w:sz w:val="18"/>
          <w:szCs w:val="18"/>
        </w:rPr>
        <w:t>Fonte:</w:t>
      </w:r>
      <w:r w:rsidRPr="00012B44">
        <w:rPr>
          <w:rFonts w:ascii="Times New Roman" w:hAnsi="Times New Roman" w:cs="Times New Roman"/>
          <w:sz w:val="18"/>
          <w:szCs w:val="18"/>
        </w:rPr>
        <w:t xml:space="preserve"> Elaboração própria</w:t>
      </w:r>
    </w:p>
    <w:p w:rsidR="008B3AAD" w:rsidRPr="00BB024D" w:rsidRDefault="008B3AAD" w:rsidP="00210D28">
      <w:pPr>
        <w:spacing w:after="0" w:line="480" w:lineRule="auto"/>
        <w:jc w:val="both"/>
        <w:rPr>
          <w:rFonts w:ascii="Times New Roman" w:hAnsi="Times New Roman" w:cs="Times New Roman"/>
          <w:sz w:val="24"/>
          <w:szCs w:val="24"/>
        </w:rPr>
      </w:pPr>
      <w:r w:rsidRPr="00BB024D">
        <w:rPr>
          <w:rFonts w:ascii="Times New Roman" w:hAnsi="Times New Roman" w:cs="Times New Roman"/>
          <w:sz w:val="24"/>
          <w:szCs w:val="24"/>
        </w:rPr>
        <w:t>Mediante esta classificação, estudou-se o “peso” de cada tipo de receita no total de receitas das paróquias estudadas, refletido no gráfico seguinte.</w:t>
      </w:r>
    </w:p>
    <w:p w:rsidR="008B3AAD" w:rsidRPr="00BB024D" w:rsidRDefault="008B3AAD" w:rsidP="00210D28">
      <w:pPr>
        <w:pStyle w:val="Legenda"/>
        <w:spacing w:after="0" w:line="480" w:lineRule="auto"/>
        <w:jc w:val="center"/>
        <w:rPr>
          <w:rFonts w:ascii="Times New Roman" w:hAnsi="Times New Roman" w:cs="Times New Roman"/>
          <w:b w:val="0"/>
          <w:color w:val="auto"/>
          <w:sz w:val="24"/>
          <w:szCs w:val="24"/>
        </w:rPr>
      </w:pPr>
      <w:bookmarkStart w:id="37" w:name="_Toc466499332"/>
      <w:r w:rsidRPr="00BB024D">
        <w:rPr>
          <w:rFonts w:ascii="Times New Roman" w:hAnsi="Times New Roman" w:cs="Times New Roman"/>
          <w:color w:val="auto"/>
          <w:sz w:val="24"/>
          <w:szCs w:val="24"/>
        </w:rPr>
        <w:t xml:space="preserve">Gráfico </w:t>
      </w:r>
      <w:r w:rsidR="00633CD9" w:rsidRPr="00BB024D">
        <w:rPr>
          <w:rFonts w:ascii="Times New Roman" w:hAnsi="Times New Roman" w:cs="Times New Roman"/>
          <w:color w:val="auto"/>
          <w:sz w:val="24"/>
          <w:szCs w:val="24"/>
        </w:rPr>
        <w:t>2</w:t>
      </w:r>
      <w:r w:rsidRPr="00BB024D">
        <w:rPr>
          <w:rFonts w:ascii="Times New Roman" w:hAnsi="Times New Roman" w:cs="Times New Roman"/>
          <w:color w:val="auto"/>
          <w:sz w:val="24"/>
          <w:szCs w:val="24"/>
        </w:rPr>
        <w:t xml:space="preserve"> - Principais receitas das paróquias</w:t>
      </w:r>
      <w:bookmarkEnd w:id="37"/>
    </w:p>
    <w:p w:rsidR="008B3AAD" w:rsidRPr="00BB024D" w:rsidRDefault="008B3AAD" w:rsidP="00210D28">
      <w:pPr>
        <w:spacing w:after="0" w:line="480" w:lineRule="auto"/>
        <w:jc w:val="center"/>
        <w:rPr>
          <w:rFonts w:ascii="Times New Roman" w:hAnsi="Times New Roman" w:cs="Times New Roman"/>
          <w:sz w:val="24"/>
          <w:szCs w:val="24"/>
        </w:rPr>
      </w:pPr>
      <w:r w:rsidRPr="00BB024D">
        <w:rPr>
          <w:rFonts w:ascii="Times New Roman" w:hAnsi="Times New Roman" w:cs="Times New Roman"/>
          <w:noProof/>
          <w:sz w:val="24"/>
          <w:szCs w:val="24"/>
          <w:lang w:eastAsia="pt-PT"/>
        </w:rPr>
        <w:drawing>
          <wp:inline distT="0" distB="0" distL="0" distR="0" wp14:anchorId="25D9884D" wp14:editId="254EC2AC">
            <wp:extent cx="5010150" cy="2495550"/>
            <wp:effectExtent l="0" t="0" r="0" b="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B3AAD" w:rsidRPr="00012B44" w:rsidRDefault="008B3AAD" w:rsidP="00210D28">
      <w:pPr>
        <w:spacing w:after="0" w:line="480" w:lineRule="auto"/>
        <w:jc w:val="center"/>
        <w:rPr>
          <w:rFonts w:ascii="Times New Roman" w:hAnsi="Times New Roman" w:cs="Times New Roman"/>
          <w:sz w:val="18"/>
          <w:szCs w:val="18"/>
        </w:rPr>
      </w:pPr>
      <w:r w:rsidRPr="00012B44">
        <w:rPr>
          <w:rFonts w:ascii="Times New Roman" w:hAnsi="Times New Roman" w:cs="Times New Roman"/>
          <w:b/>
          <w:sz w:val="18"/>
          <w:szCs w:val="18"/>
        </w:rPr>
        <w:t>Fonte</w:t>
      </w:r>
      <w:r w:rsidRPr="00012B44">
        <w:rPr>
          <w:rFonts w:ascii="Times New Roman" w:hAnsi="Times New Roman" w:cs="Times New Roman"/>
          <w:sz w:val="18"/>
          <w:szCs w:val="18"/>
        </w:rPr>
        <w:t>: Elaboração própria</w:t>
      </w:r>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Como se pode verificar, as rubricas com maior significado nas receitas das paróquias são os ofertórios (34%), as receitas diversas (20%), o contributo paroquial (19%) e o aluguer de instalações (10%), as restantes rubricas apresentam um valor pouco significativo.</w:t>
      </w:r>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À semelhança das receitas efetuou-se o mesmo procedimento para as despesas, ou seja, agruparam-se por rubricas como se demonstra no quadro seguinte.</w:t>
      </w:r>
    </w:p>
    <w:p w:rsidR="008B3AAD" w:rsidRPr="00BB024D" w:rsidRDefault="008B3AAD" w:rsidP="00A63824">
      <w:pPr>
        <w:spacing w:after="120" w:line="360" w:lineRule="auto"/>
        <w:jc w:val="both"/>
        <w:rPr>
          <w:rFonts w:ascii="Times New Roman" w:hAnsi="Times New Roman" w:cs="Times New Roman"/>
          <w:b/>
          <w:sz w:val="24"/>
          <w:szCs w:val="24"/>
        </w:rPr>
      </w:pPr>
    </w:p>
    <w:p w:rsidR="008B3AAD" w:rsidRPr="00BB024D" w:rsidRDefault="008B3AAD" w:rsidP="00A63824">
      <w:pPr>
        <w:pStyle w:val="Legenda"/>
        <w:spacing w:after="0" w:line="360" w:lineRule="auto"/>
        <w:jc w:val="center"/>
        <w:rPr>
          <w:rFonts w:ascii="Times New Roman" w:hAnsi="Times New Roman" w:cs="Times New Roman"/>
          <w:b w:val="0"/>
          <w:color w:val="auto"/>
          <w:sz w:val="24"/>
          <w:szCs w:val="24"/>
        </w:rPr>
      </w:pPr>
      <w:bookmarkStart w:id="38" w:name="_Toc466499304"/>
      <w:r w:rsidRPr="00BB024D">
        <w:rPr>
          <w:rFonts w:ascii="Times New Roman" w:hAnsi="Times New Roman" w:cs="Times New Roman"/>
          <w:color w:val="auto"/>
          <w:sz w:val="24"/>
          <w:szCs w:val="24"/>
        </w:rPr>
        <w:t xml:space="preserve">Quadro </w:t>
      </w:r>
      <w:r w:rsidR="00633CD9" w:rsidRPr="00BB024D">
        <w:rPr>
          <w:rFonts w:ascii="Times New Roman" w:hAnsi="Times New Roman" w:cs="Times New Roman"/>
          <w:color w:val="auto"/>
          <w:sz w:val="24"/>
          <w:szCs w:val="24"/>
        </w:rPr>
        <w:t>2</w:t>
      </w:r>
      <w:r w:rsidRPr="00BB024D">
        <w:rPr>
          <w:rFonts w:ascii="Times New Roman" w:hAnsi="Times New Roman" w:cs="Times New Roman"/>
          <w:color w:val="auto"/>
          <w:sz w:val="24"/>
          <w:szCs w:val="24"/>
        </w:rPr>
        <w:t xml:space="preserve"> - Discriminação das principais despesas das paróquias</w:t>
      </w:r>
      <w:bookmarkEnd w:id="38"/>
    </w:p>
    <w:tbl>
      <w:tblPr>
        <w:tblStyle w:val="Tabelacomgrelha"/>
        <w:tblW w:w="0" w:type="auto"/>
        <w:jc w:val="center"/>
        <w:tblLook w:val="04A0" w:firstRow="1" w:lastRow="0" w:firstColumn="1" w:lastColumn="0" w:noHBand="0" w:noVBand="1"/>
      </w:tblPr>
      <w:tblGrid>
        <w:gridCol w:w="2802"/>
        <w:gridCol w:w="6125"/>
      </w:tblGrid>
      <w:tr w:rsidR="008B3AAD" w:rsidRPr="00BB024D" w:rsidTr="00CC030A">
        <w:trPr>
          <w:jc w:val="center"/>
        </w:trPr>
        <w:tc>
          <w:tcPr>
            <w:tcW w:w="2802" w:type="dxa"/>
            <w:shd w:val="clear" w:color="auto" w:fill="C6D9F1" w:themeFill="text2" w:themeFillTint="33"/>
            <w:vAlign w:val="center"/>
          </w:tcPr>
          <w:p w:rsidR="008B3AAD" w:rsidRPr="00BB024D" w:rsidRDefault="008B3AAD" w:rsidP="00A63824">
            <w:pPr>
              <w:jc w:val="center"/>
              <w:rPr>
                <w:rFonts w:ascii="Times New Roman" w:hAnsi="Times New Roman" w:cs="Times New Roman"/>
                <w:b/>
                <w:sz w:val="24"/>
                <w:szCs w:val="24"/>
              </w:rPr>
            </w:pPr>
            <w:r w:rsidRPr="00BB024D">
              <w:rPr>
                <w:rFonts w:ascii="Times New Roman" w:hAnsi="Times New Roman" w:cs="Times New Roman"/>
                <w:b/>
                <w:sz w:val="24"/>
                <w:szCs w:val="24"/>
              </w:rPr>
              <w:t>Rubricas da despesa</w:t>
            </w:r>
          </w:p>
        </w:tc>
        <w:tc>
          <w:tcPr>
            <w:tcW w:w="6125" w:type="dxa"/>
            <w:shd w:val="clear" w:color="auto" w:fill="C6D9F1" w:themeFill="text2" w:themeFillTint="33"/>
            <w:vAlign w:val="center"/>
          </w:tcPr>
          <w:p w:rsidR="008B3AAD" w:rsidRPr="00BB024D" w:rsidRDefault="008B3AAD" w:rsidP="00A63824">
            <w:pPr>
              <w:jc w:val="center"/>
              <w:rPr>
                <w:rFonts w:ascii="Times New Roman" w:hAnsi="Times New Roman" w:cs="Times New Roman"/>
                <w:b/>
                <w:sz w:val="24"/>
                <w:szCs w:val="24"/>
              </w:rPr>
            </w:pPr>
            <w:r w:rsidRPr="00BB024D">
              <w:rPr>
                <w:rFonts w:ascii="Times New Roman" w:hAnsi="Times New Roman" w:cs="Times New Roman"/>
                <w:b/>
                <w:sz w:val="24"/>
                <w:szCs w:val="24"/>
              </w:rPr>
              <w:t>Discriminação</w:t>
            </w:r>
          </w:p>
        </w:tc>
      </w:tr>
      <w:tr w:rsidR="008B3AAD" w:rsidRPr="00BB024D" w:rsidTr="00CC030A">
        <w:trPr>
          <w:jc w:val="center"/>
        </w:trPr>
        <w:tc>
          <w:tcPr>
            <w:tcW w:w="2802"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Gastos com pessoal</w:t>
            </w:r>
          </w:p>
        </w:tc>
        <w:tc>
          <w:tcPr>
            <w:tcW w:w="6125"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Vencimento do pároco e outro pessoal da paróquia; ajudas de custo do pároco; segurança social; seguros de acidentes de trabalho.</w:t>
            </w:r>
          </w:p>
        </w:tc>
      </w:tr>
      <w:tr w:rsidR="008B3AAD" w:rsidRPr="00BB024D" w:rsidTr="00CC030A">
        <w:trPr>
          <w:jc w:val="center"/>
        </w:trPr>
        <w:tc>
          <w:tcPr>
            <w:tcW w:w="2802"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Fornecimentos e Serviços Externos</w:t>
            </w:r>
          </w:p>
        </w:tc>
        <w:tc>
          <w:tcPr>
            <w:tcW w:w="6125"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Eletricidade; água e saneamento; telefone; internet; correios; material de escritório; material de limpeza e limpeza da igreja; seguros; deslocações; reparações de equipamentos; despesas bancárias.</w:t>
            </w:r>
          </w:p>
        </w:tc>
      </w:tr>
      <w:tr w:rsidR="008B3AAD" w:rsidRPr="00BB024D" w:rsidTr="00CC030A">
        <w:trPr>
          <w:jc w:val="center"/>
        </w:trPr>
        <w:tc>
          <w:tcPr>
            <w:tcW w:w="2802"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Taxas e Impostos</w:t>
            </w:r>
          </w:p>
        </w:tc>
        <w:tc>
          <w:tcPr>
            <w:tcW w:w="6125"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Imposto Municipal sobre Imóveis</w:t>
            </w:r>
          </w:p>
        </w:tc>
      </w:tr>
      <w:tr w:rsidR="008B3AAD" w:rsidRPr="00BB024D" w:rsidTr="00CC030A">
        <w:trPr>
          <w:jc w:val="center"/>
        </w:trPr>
        <w:tc>
          <w:tcPr>
            <w:tcW w:w="2802"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Culto divino</w:t>
            </w:r>
          </w:p>
        </w:tc>
        <w:tc>
          <w:tcPr>
            <w:tcW w:w="6125"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Hóstias; vinho; cera; flores.</w:t>
            </w:r>
          </w:p>
        </w:tc>
      </w:tr>
      <w:tr w:rsidR="008B3AAD" w:rsidRPr="00BB024D" w:rsidTr="00CC030A">
        <w:trPr>
          <w:jc w:val="center"/>
        </w:trPr>
        <w:tc>
          <w:tcPr>
            <w:tcW w:w="2802"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Formação</w:t>
            </w:r>
          </w:p>
        </w:tc>
        <w:tc>
          <w:tcPr>
            <w:tcW w:w="6125"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Retiros; formação; catequese.</w:t>
            </w:r>
          </w:p>
        </w:tc>
      </w:tr>
      <w:tr w:rsidR="008B3AAD" w:rsidRPr="00BB024D" w:rsidTr="00CC030A">
        <w:trPr>
          <w:jc w:val="center"/>
        </w:trPr>
        <w:tc>
          <w:tcPr>
            <w:tcW w:w="2802"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Cúria</w:t>
            </w:r>
          </w:p>
        </w:tc>
        <w:tc>
          <w:tcPr>
            <w:tcW w:w="6125"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Fundo Diocesano.</w:t>
            </w:r>
          </w:p>
        </w:tc>
      </w:tr>
      <w:tr w:rsidR="008B3AAD" w:rsidRPr="00BB024D" w:rsidTr="00CC030A">
        <w:trPr>
          <w:jc w:val="center"/>
        </w:trPr>
        <w:tc>
          <w:tcPr>
            <w:tcW w:w="2802"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Obras</w:t>
            </w:r>
          </w:p>
        </w:tc>
        <w:tc>
          <w:tcPr>
            <w:tcW w:w="6125"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Reparações e obras realizadas nas igrejas.</w:t>
            </w:r>
          </w:p>
        </w:tc>
      </w:tr>
      <w:tr w:rsidR="008B3AAD" w:rsidRPr="00BB024D" w:rsidTr="00CC030A">
        <w:trPr>
          <w:jc w:val="center"/>
        </w:trPr>
        <w:tc>
          <w:tcPr>
            <w:tcW w:w="2802"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Equipamentos</w:t>
            </w:r>
          </w:p>
        </w:tc>
        <w:tc>
          <w:tcPr>
            <w:tcW w:w="6125"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Equipamentos diversos para as igrejas.</w:t>
            </w:r>
          </w:p>
        </w:tc>
      </w:tr>
      <w:tr w:rsidR="008B3AAD" w:rsidRPr="00BB024D" w:rsidTr="00CC030A">
        <w:trPr>
          <w:jc w:val="center"/>
        </w:trPr>
        <w:tc>
          <w:tcPr>
            <w:tcW w:w="2802"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Despesas Diversas</w:t>
            </w:r>
          </w:p>
        </w:tc>
        <w:tc>
          <w:tcPr>
            <w:tcW w:w="6125" w:type="dxa"/>
            <w:vAlign w:val="center"/>
          </w:tcPr>
          <w:p w:rsidR="008B3AAD" w:rsidRPr="00BB024D" w:rsidRDefault="008B3AAD" w:rsidP="00A63824">
            <w:pPr>
              <w:rPr>
                <w:rFonts w:ascii="Times New Roman" w:hAnsi="Times New Roman" w:cs="Times New Roman"/>
                <w:sz w:val="24"/>
                <w:szCs w:val="24"/>
              </w:rPr>
            </w:pPr>
            <w:r w:rsidRPr="00BB024D">
              <w:rPr>
                <w:rFonts w:ascii="Times New Roman" w:hAnsi="Times New Roman" w:cs="Times New Roman"/>
                <w:sz w:val="24"/>
                <w:szCs w:val="24"/>
              </w:rPr>
              <w:t>Contributo para seminaristas; compras para o bar da paróquia; atividades recreativas, lúdicas e culturais.</w:t>
            </w:r>
          </w:p>
        </w:tc>
      </w:tr>
    </w:tbl>
    <w:p w:rsidR="008B3AAD" w:rsidRPr="00012B44" w:rsidRDefault="008B3AAD" w:rsidP="00210D28">
      <w:pPr>
        <w:spacing w:after="0" w:line="480" w:lineRule="auto"/>
        <w:jc w:val="center"/>
        <w:rPr>
          <w:rFonts w:ascii="Times New Roman" w:hAnsi="Times New Roman" w:cs="Times New Roman"/>
          <w:sz w:val="18"/>
          <w:szCs w:val="18"/>
        </w:rPr>
      </w:pPr>
      <w:r w:rsidRPr="00012B44">
        <w:rPr>
          <w:rFonts w:ascii="Times New Roman" w:hAnsi="Times New Roman" w:cs="Times New Roman"/>
          <w:b/>
          <w:sz w:val="18"/>
          <w:szCs w:val="18"/>
        </w:rPr>
        <w:t>Fonte:</w:t>
      </w:r>
      <w:r w:rsidRPr="00012B44">
        <w:rPr>
          <w:rFonts w:ascii="Times New Roman" w:hAnsi="Times New Roman" w:cs="Times New Roman"/>
          <w:sz w:val="18"/>
          <w:szCs w:val="18"/>
        </w:rPr>
        <w:t xml:space="preserve"> Elaboração própria</w:t>
      </w:r>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Tal como nas receitas, também nas despesas se aferiu quais contribuem mais para os gastos das paróquias através da elaboração do seguinte gráfico.</w:t>
      </w:r>
    </w:p>
    <w:p w:rsidR="004D6976" w:rsidRPr="00BB024D" w:rsidRDefault="004D6976" w:rsidP="00A63824">
      <w:pPr>
        <w:pStyle w:val="Legenda"/>
        <w:spacing w:after="120" w:line="360" w:lineRule="auto"/>
        <w:jc w:val="both"/>
        <w:rPr>
          <w:rFonts w:ascii="Times New Roman" w:hAnsi="Times New Roman" w:cs="Times New Roman"/>
          <w:color w:val="auto"/>
          <w:sz w:val="24"/>
          <w:szCs w:val="24"/>
        </w:rPr>
      </w:pPr>
      <w:bookmarkStart w:id="39" w:name="_Toc466499333"/>
    </w:p>
    <w:p w:rsidR="008B3AAD" w:rsidRPr="00BB024D" w:rsidRDefault="008B3AAD" w:rsidP="00210D28">
      <w:pPr>
        <w:pStyle w:val="Legenda"/>
        <w:spacing w:after="0" w:line="480" w:lineRule="auto"/>
        <w:jc w:val="center"/>
        <w:rPr>
          <w:rFonts w:ascii="Times New Roman" w:hAnsi="Times New Roman" w:cs="Times New Roman"/>
          <w:color w:val="auto"/>
          <w:sz w:val="24"/>
          <w:szCs w:val="24"/>
        </w:rPr>
      </w:pPr>
      <w:r w:rsidRPr="00BB024D">
        <w:rPr>
          <w:rFonts w:ascii="Times New Roman" w:hAnsi="Times New Roman" w:cs="Times New Roman"/>
          <w:color w:val="auto"/>
          <w:sz w:val="24"/>
          <w:szCs w:val="24"/>
        </w:rPr>
        <w:t xml:space="preserve">Gráfico </w:t>
      </w:r>
      <w:r w:rsidR="00633CD9" w:rsidRPr="00BB024D">
        <w:rPr>
          <w:rFonts w:ascii="Times New Roman" w:hAnsi="Times New Roman" w:cs="Times New Roman"/>
          <w:color w:val="auto"/>
          <w:sz w:val="24"/>
          <w:szCs w:val="24"/>
        </w:rPr>
        <w:t>3</w:t>
      </w:r>
      <w:r w:rsidRPr="00BB024D">
        <w:rPr>
          <w:rFonts w:ascii="Times New Roman" w:hAnsi="Times New Roman" w:cs="Times New Roman"/>
          <w:color w:val="auto"/>
          <w:sz w:val="24"/>
          <w:szCs w:val="24"/>
        </w:rPr>
        <w:t xml:space="preserve"> - Principais despesas das paróquias</w:t>
      </w:r>
      <w:bookmarkEnd w:id="39"/>
    </w:p>
    <w:p w:rsidR="008B3AAD" w:rsidRPr="00BB024D" w:rsidRDefault="008B3AAD" w:rsidP="00210D28">
      <w:pPr>
        <w:spacing w:after="0" w:line="480" w:lineRule="auto"/>
        <w:jc w:val="center"/>
        <w:rPr>
          <w:rFonts w:ascii="Times New Roman" w:hAnsi="Times New Roman" w:cs="Times New Roman"/>
          <w:sz w:val="24"/>
          <w:szCs w:val="24"/>
        </w:rPr>
      </w:pPr>
      <w:r w:rsidRPr="00BB024D">
        <w:rPr>
          <w:rFonts w:ascii="Times New Roman" w:hAnsi="Times New Roman" w:cs="Times New Roman"/>
          <w:noProof/>
          <w:sz w:val="24"/>
          <w:szCs w:val="24"/>
          <w:lang w:eastAsia="pt-PT"/>
        </w:rPr>
        <w:drawing>
          <wp:inline distT="0" distB="0" distL="0" distR="0" wp14:anchorId="598F0C03" wp14:editId="5FCCAC86">
            <wp:extent cx="4638675" cy="2962275"/>
            <wp:effectExtent l="0" t="0" r="0"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B3AAD" w:rsidRPr="00012B44" w:rsidRDefault="008B3AAD" w:rsidP="00210D28">
      <w:pPr>
        <w:spacing w:after="0" w:line="480" w:lineRule="auto"/>
        <w:jc w:val="center"/>
        <w:rPr>
          <w:rFonts w:ascii="Times New Roman" w:hAnsi="Times New Roman" w:cs="Times New Roman"/>
          <w:sz w:val="18"/>
          <w:szCs w:val="18"/>
        </w:rPr>
      </w:pPr>
      <w:r w:rsidRPr="00012B44">
        <w:rPr>
          <w:rFonts w:ascii="Times New Roman" w:hAnsi="Times New Roman" w:cs="Times New Roman"/>
          <w:b/>
          <w:sz w:val="18"/>
          <w:szCs w:val="18"/>
        </w:rPr>
        <w:t>Fonte:</w:t>
      </w:r>
      <w:r w:rsidRPr="00012B44">
        <w:rPr>
          <w:rFonts w:ascii="Times New Roman" w:hAnsi="Times New Roman" w:cs="Times New Roman"/>
          <w:sz w:val="18"/>
          <w:szCs w:val="18"/>
        </w:rPr>
        <w:t xml:space="preserve"> Elaboração própria</w:t>
      </w:r>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Neste caso, as rubricas com um impacto mais significativo na parte da despesa são os gastos com pessoal (33%), os gastos com obras (27%) e os fornecimentos e serviços externos (FSE) </w:t>
      </w:r>
      <w:r w:rsidRPr="00BB024D">
        <w:rPr>
          <w:rFonts w:ascii="Times New Roman" w:hAnsi="Times New Roman" w:cs="Times New Roman"/>
          <w:sz w:val="24"/>
          <w:szCs w:val="24"/>
        </w:rPr>
        <w:lastRenderedPageBreak/>
        <w:t>(19%), as rubricas de despesas diversas (8%) e formação (5%) apresentam um valor menos significativo, enquanto as restantes apresentam apenas um valor residual.</w:t>
      </w:r>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As tabelas e os gráficos anteriores evidenciam os tipos de receitas e de despesas a que estão sujeitas as paróquias, respondendo assim à nossa QI </w:t>
      </w:r>
      <w:r w:rsidR="00E32B9C" w:rsidRPr="00BB024D">
        <w:rPr>
          <w:rFonts w:ascii="Times New Roman" w:hAnsi="Times New Roman" w:cs="Times New Roman"/>
          <w:sz w:val="24"/>
          <w:szCs w:val="24"/>
        </w:rPr>
        <w:t>3</w:t>
      </w:r>
      <w:r w:rsidRPr="00BB024D">
        <w:rPr>
          <w:rFonts w:ascii="Times New Roman" w:hAnsi="Times New Roman" w:cs="Times New Roman"/>
          <w:sz w:val="24"/>
          <w:szCs w:val="24"/>
        </w:rPr>
        <w:t>. Conforme se pode constatar, tanto umas como outras são muito diversificadas e com diferentes impactos no cômputo geral.</w:t>
      </w:r>
    </w:p>
    <w:p w:rsidR="008B3AAD" w:rsidRPr="00BB024D" w:rsidRDefault="008B3AAD"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Esta pesquisa permitiu-nos responder à QI </w:t>
      </w:r>
      <w:r w:rsidR="00E32B9C" w:rsidRPr="00BB024D">
        <w:rPr>
          <w:rFonts w:ascii="Times New Roman" w:hAnsi="Times New Roman" w:cs="Times New Roman"/>
          <w:sz w:val="24"/>
          <w:szCs w:val="24"/>
        </w:rPr>
        <w:t>1</w:t>
      </w:r>
      <w:r w:rsidRPr="00BB024D">
        <w:rPr>
          <w:rFonts w:ascii="Times New Roman" w:hAnsi="Times New Roman" w:cs="Times New Roman"/>
          <w:sz w:val="24"/>
          <w:szCs w:val="24"/>
        </w:rPr>
        <w:t>, ou seja, possibilitou-nos aferir que a informação financeira das paróquias é pouco divulgada. A publicação desta informação na internet só está acessível ao público em algumas paróquias.</w:t>
      </w:r>
    </w:p>
    <w:p w:rsidR="006C03A7" w:rsidRDefault="006C03A7" w:rsidP="00A63824">
      <w:pPr>
        <w:pStyle w:val="CitaoIntensa"/>
        <w:pBdr>
          <w:bottom w:val="none" w:sz="0" w:space="0" w:color="auto"/>
        </w:pBdr>
        <w:spacing w:before="0" w:after="120" w:line="360" w:lineRule="auto"/>
        <w:ind w:left="0" w:right="0"/>
        <w:outlineLvl w:val="0"/>
        <w:rPr>
          <w:rFonts w:ascii="Times New Roman" w:hAnsi="Times New Roman" w:cs="Times New Roman"/>
          <w:i w:val="0"/>
          <w:sz w:val="24"/>
          <w:szCs w:val="24"/>
        </w:rPr>
      </w:pPr>
    </w:p>
    <w:p w:rsidR="004D0360" w:rsidRPr="00BB024D" w:rsidRDefault="004D0360" w:rsidP="00A63824">
      <w:pPr>
        <w:pStyle w:val="CitaoIntensa"/>
        <w:pBdr>
          <w:bottom w:val="none" w:sz="0" w:space="0" w:color="auto"/>
        </w:pBdr>
        <w:spacing w:before="0" w:after="120" w:line="360" w:lineRule="auto"/>
        <w:ind w:left="0" w:right="0"/>
        <w:outlineLvl w:val="0"/>
        <w:rPr>
          <w:rFonts w:ascii="Times New Roman" w:hAnsi="Times New Roman" w:cs="Times New Roman"/>
          <w:i w:val="0"/>
          <w:sz w:val="24"/>
          <w:szCs w:val="24"/>
        </w:rPr>
      </w:pPr>
      <w:r w:rsidRPr="00BB024D">
        <w:rPr>
          <w:rFonts w:ascii="Times New Roman" w:hAnsi="Times New Roman" w:cs="Times New Roman"/>
          <w:i w:val="0"/>
          <w:sz w:val="24"/>
          <w:szCs w:val="24"/>
        </w:rPr>
        <w:t>5. Considerações finais</w:t>
      </w:r>
    </w:p>
    <w:p w:rsidR="004D0360" w:rsidRPr="00BB024D" w:rsidRDefault="004D0360" w:rsidP="00A63824">
      <w:pPr>
        <w:spacing w:after="120" w:line="360" w:lineRule="auto"/>
        <w:jc w:val="both"/>
        <w:rPr>
          <w:rFonts w:ascii="Times New Roman" w:hAnsi="Times New Roman" w:cs="Times New Roman"/>
          <w:color w:val="4F81BD" w:themeColor="accent1"/>
          <w:sz w:val="24"/>
          <w:szCs w:val="24"/>
        </w:rPr>
      </w:pPr>
    </w:p>
    <w:p w:rsidR="00794CB1" w:rsidRPr="00BB024D" w:rsidRDefault="00794CB1"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Este ponto tem como objetivo apresentar as principais conclusões da investigação, pretendendo responder ao objetivo principal e às questões de investigação daí resultantes. De seguida serão indicadas algumas limitações que surgiram no decorrer desta investigação. Por fim apresentam-se algumas sugestões para futuras investigações sobre esta temática.</w:t>
      </w:r>
    </w:p>
    <w:p w:rsidR="00794CB1" w:rsidRPr="00BB024D" w:rsidRDefault="00794CB1" w:rsidP="00A63824">
      <w:pPr>
        <w:spacing w:after="120" w:line="360" w:lineRule="auto"/>
        <w:jc w:val="both"/>
        <w:rPr>
          <w:rFonts w:ascii="Times New Roman" w:hAnsi="Times New Roman" w:cs="Times New Roman"/>
          <w:color w:val="4F81BD" w:themeColor="accent1"/>
          <w:sz w:val="24"/>
          <w:szCs w:val="24"/>
        </w:rPr>
      </w:pPr>
    </w:p>
    <w:p w:rsidR="00794CB1" w:rsidRPr="00BB024D" w:rsidRDefault="00794CB1" w:rsidP="00A63824">
      <w:pPr>
        <w:pStyle w:val="Cabealho2"/>
        <w:spacing w:before="0"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      </w:t>
      </w:r>
      <w:bookmarkStart w:id="40" w:name="_Toc465894302"/>
      <w:bookmarkStart w:id="41" w:name="_Toc466577240"/>
      <w:r w:rsidRPr="00BB024D">
        <w:rPr>
          <w:rFonts w:ascii="Times New Roman" w:hAnsi="Times New Roman" w:cs="Times New Roman"/>
          <w:sz w:val="24"/>
          <w:szCs w:val="24"/>
        </w:rPr>
        <w:t>5.1. Principais conclusões</w:t>
      </w:r>
      <w:bookmarkEnd w:id="40"/>
      <w:bookmarkEnd w:id="41"/>
    </w:p>
    <w:p w:rsidR="00794CB1" w:rsidRPr="00BB024D" w:rsidRDefault="00794CB1"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Numa época em que se reclama que as entidades, quer privadas, quer públicas, incluindo as entidades da economia social, sejam transparentes. Também as paróquias devem evidenciar essa transparência, quanto à origem e destino dos seus recursos, divulgando a sua informação económica e financeira a todos os interessados. Esta divulgação de informação é facilmente conseguida através da internet.</w:t>
      </w:r>
    </w:p>
    <w:p w:rsidR="00794CB1" w:rsidRPr="00BB024D" w:rsidRDefault="00794CB1"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Atendendo aos fins prosseguidos e as atividades desenvolvidas pelas paróquias, estas estão sujeitas a um duplo regime. Relativamente às suas atividades principais, ou seja, os fins de culto, são regidas pelo Código de Direito Canónico, pela Concordata e pelos Estatutos emanados pelas Dioceses. Quanto às atividades secundárias de natureza não lucrativa e às atividades instrumentais, as paróquias ficam sujeitas ao regime previsto na LBES e no EIPSS.</w:t>
      </w:r>
    </w:p>
    <w:p w:rsidR="00794CB1" w:rsidRPr="00BB024D" w:rsidRDefault="00794CB1"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Em termos contabilísticos, as paróquias, cujo volume de negócios líquido não exceda €150.000 em nenhum dos dois períodos anteriores, estão sujeitas à prestação de contas em regime de caixa. Assim, estas entidades que estejam dispensadas e que não optem pela </w:t>
      </w:r>
      <w:r w:rsidRPr="00BB024D">
        <w:rPr>
          <w:rFonts w:ascii="Times New Roman" w:hAnsi="Times New Roman" w:cs="Times New Roman"/>
          <w:sz w:val="24"/>
          <w:szCs w:val="24"/>
        </w:rPr>
        <w:lastRenderedPageBreak/>
        <w:t>aplicação da NCRF-ESNL ficam obrigadas à prestação de contas em regime de caixa. No entanto, esta dispensa cessa quando o limite referido anteriormente for ultrapassado, ficando a entidade obrigada a partir do período seguinte, inclusive, a aplicar a NCRF-ESNL.</w:t>
      </w:r>
    </w:p>
    <w:p w:rsidR="00794CB1" w:rsidRPr="00BB024D" w:rsidRDefault="00794CB1"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Pelo estudo efetuado, constamos que as paróquias utilizam pouco a internet, a grande maioria utilizam-na basicamente para fins de evangelização e para dar a conhecer as atividades da paróquia e não tanto para divulgação da informação financeira. </w:t>
      </w:r>
    </w:p>
    <w:p w:rsidR="00794CB1" w:rsidRPr="00BB024D" w:rsidRDefault="00794CB1"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Verificamos também, que não existe uniformidade quanto à forma do relato financeiro das paróquias. Ou seja, existe uma grande diversidade de modelos, denotando falta de uniformização e de harmonização.</w:t>
      </w:r>
    </w:p>
    <w:p w:rsidR="00794CB1" w:rsidRPr="00BB024D" w:rsidRDefault="00794CB1"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Neste contexto, para ultrapassar o problema da falta de uniformidade e de harmonização relativamente ao relato financeiro destas entidades, propomos que as mesmas utilizem os modelos de mapas definidos pela Portaria n.º 220/2015, de 24 de julho, com as necessárias adaptações, e estejam sujeitas às mesmas regras de divulgação que as restantes entidades da economia social, nomeadamente as IPSS. </w:t>
      </w:r>
    </w:p>
    <w:p w:rsidR="00794CB1" w:rsidRPr="00BB024D" w:rsidRDefault="00794CB1"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Esta alteração iria permitir que houvesse uniformização na forma de relatar a informação financeira, proporcionaria uma imagem verdadeira e apropriada do desempenho da entidade e consequentemente maior transparência. </w:t>
      </w:r>
    </w:p>
    <w:p w:rsidR="00794CB1" w:rsidRPr="00BB024D" w:rsidRDefault="00794CB1" w:rsidP="006C03A7">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Por fim, consideramos que este estudo pode ser um contributo importante para a literatura desta área, na medida em que:</w:t>
      </w:r>
      <w:r w:rsidR="006C03A7">
        <w:rPr>
          <w:rFonts w:ascii="Times New Roman" w:hAnsi="Times New Roman" w:cs="Times New Roman"/>
          <w:sz w:val="24"/>
          <w:szCs w:val="24"/>
        </w:rPr>
        <w:t xml:space="preserve"> (i) p</w:t>
      </w:r>
      <w:r w:rsidRPr="00BB024D">
        <w:rPr>
          <w:rFonts w:ascii="Times New Roman" w:hAnsi="Times New Roman" w:cs="Times New Roman"/>
          <w:sz w:val="24"/>
          <w:szCs w:val="24"/>
        </w:rPr>
        <w:t>ermite um melhor conhecimento das paróquias, numa perspetiva jurídica e contabilística;</w:t>
      </w:r>
      <w:r w:rsidR="006C03A7">
        <w:rPr>
          <w:rFonts w:ascii="Times New Roman" w:hAnsi="Times New Roman" w:cs="Times New Roman"/>
          <w:sz w:val="24"/>
          <w:szCs w:val="24"/>
        </w:rPr>
        <w:t xml:space="preserve"> (ii) a</w:t>
      </w:r>
      <w:r w:rsidRPr="00BB024D">
        <w:rPr>
          <w:rFonts w:ascii="Times New Roman" w:hAnsi="Times New Roman" w:cs="Times New Roman"/>
          <w:sz w:val="24"/>
          <w:szCs w:val="24"/>
        </w:rPr>
        <w:t>lerta para a importância destas entidades nas comunidades em que estão inseridas;</w:t>
      </w:r>
      <w:r w:rsidR="006C03A7">
        <w:rPr>
          <w:rFonts w:ascii="Times New Roman" w:hAnsi="Times New Roman" w:cs="Times New Roman"/>
          <w:sz w:val="24"/>
          <w:szCs w:val="24"/>
        </w:rPr>
        <w:t xml:space="preserve"> (iii) s</w:t>
      </w:r>
      <w:r w:rsidRPr="00BB024D">
        <w:rPr>
          <w:rFonts w:ascii="Times New Roman" w:hAnsi="Times New Roman" w:cs="Times New Roman"/>
          <w:sz w:val="24"/>
          <w:szCs w:val="24"/>
        </w:rPr>
        <w:t>ensibiliza o legislador para a necessidade de consagrar expressamente a obrigatoriedade de estas entidades aplicarem o normativo contabilístico das ESNL.</w:t>
      </w:r>
    </w:p>
    <w:p w:rsidR="00794CB1" w:rsidRPr="00BB024D" w:rsidRDefault="00794CB1" w:rsidP="00A63824">
      <w:pPr>
        <w:spacing w:after="120" w:line="360" w:lineRule="auto"/>
        <w:jc w:val="both"/>
        <w:rPr>
          <w:rFonts w:ascii="Times New Roman" w:hAnsi="Times New Roman" w:cs="Times New Roman"/>
          <w:sz w:val="24"/>
          <w:szCs w:val="24"/>
        </w:rPr>
      </w:pPr>
    </w:p>
    <w:p w:rsidR="00794CB1" w:rsidRPr="00BB024D" w:rsidRDefault="00794CB1" w:rsidP="00A63824">
      <w:pPr>
        <w:pStyle w:val="Cabealho2"/>
        <w:spacing w:before="0"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      </w:t>
      </w:r>
      <w:bookmarkStart w:id="42" w:name="_Toc465894303"/>
      <w:bookmarkStart w:id="43" w:name="_Toc466577241"/>
      <w:r w:rsidRPr="00BB024D">
        <w:rPr>
          <w:rFonts w:ascii="Times New Roman" w:hAnsi="Times New Roman" w:cs="Times New Roman"/>
          <w:sz w:val="24"/>
          <w:szCs w:val="24"/>
        </w:rPr>
        <w:t>5.2. Limitações do estudo</w:t>
      </w:r>
      <w:bookmarkEnd w:id="42"/>
      <w:bookmarkEnd w:id="43"/>
    </w:p>
    <w:p w:rsidR="00794CB1" w:rsidRPr="00BB024D" w:rsidRDefault="00794CB1" w:rsidP="00A63824">
      <w:pPr>
        <w:spacing w:after="120" w:line="360" w:lineRule="auto"/>
        <w:jc w:val="both"/>
        <w:rPr>
          <w:rFonts w:ascii="Times New Roman" w:eastAsia="Times New Roman" w:hAnsi="Times New Roman" w:cs="Times New Roman"/>
          <w:sz w:val="24"/>
          <w:szCs w:val="24"/>
        </w:rPr>
      </w:pPr>
      <w:r w:rsidRPr="00BB024D">
        <w:rPr>
          <w:rFonts w:ascii="Times New Roman" w:eastAsia="Times New Roman" w:hAnsi="Times New Roman" w:cs="Times New Roman"/>
          <w:sz w:val="24"/>
          <w:szCs w:val="24"/>
        </w:rPr>
        <w:t>A principal limitação para a realização deste estudo prendeu-se com o facto de não existirem trabalhos de investigação na área da contabilidade das paróquias.</w:t>
      </w:r>
    </w:p>
    <w:p w:rsidR="00794CB1" w:rsidRPr="00BB024D" w:rsidRDefault="00794CB1" w:rsidP="00A63824">
      <w:pPr>
        <w:spacing w:after="120" w:line="360" w:lineRule="auto"/>
        <w:jc w:val="both"/>
        <w:rPr>
          <w:rFonts w:ascii="Times New Roman" w:eastAsia="Times New Roman" w:hAnsi="Times New Roman" w:cs="Times New Roman"/>
          <w:sz w:val="24"/>
          <w:szCs w:val="24"/>
        </w:rPr>
      </w:pPr>
      <w:r w:rsidRPr="00BB024D">
        <w:rPr>
          <w:rFonts w:ascii="Times New Roman" w:eastAsia="Times New Roman" w:hAnsi="Times New Roman" w:cs="Times New Roman"/>
          <w:sz w:val="24"/>
          <w:szCs w:val="24"/>
        </w:rPr>
        <w:t>Outra limitação deveu-se à falta de divulgação de informação financeira por parte das paróquias e a dificuldade em comunicar com as mesmas, que condicionou a recolha de dados e consequentemente os resultados apresentados.</w:t>
      </w:r>
    </w:p>
    <w:p w:rsidR="00794CB1" w:rsidRPr="00BB024D" w:rsidRDefault="00794CB1" w:rsidP="00A63824">
      <w:pPr>
        <w:spacing w:after="120" w:line="360" w:lineRule="auto"/>
        <w:jc w:val="both"/>
        <w:rPr>
          <w:rFonts w:ascii="Times New Roman" w:eastAsia="Times New Roman" w:hAnsi="Times New Roman" w:cs="Times New Roman"/>
          <w:sz w:val="24"/>
          <w:szCs w:val="24"/>
        </w:rPr>
      </w:pPr>
      <w:r w:rsidRPr="00BB024D">
        <w:rPr>
          <w:rFonts w:ascii="Times New Roman" w:eastAsia="Times New Roman" w:hAnsi="Times New Roman" w:cs="Times New Roman"/>
          <w:sz w:val="24"/>
          <w:szCs w:val="24"/>
        </w:rPr>
        <w:lastRenderedPageBreak/>
        <w:t>Por último, a falta de uniformização em relação às designações das receitas e despesas das paróquias e das demonstrações financeiras elaboradas.</w:t>
      </w:r>
    </w:p>
    <w:p w:rsidR="00A63824" w:rsidRDefault="00A63824" w:rsidP="00A63824">
      <w:pPr>
        <w:pStyle w:val="Cabealho2"/>
        <w:spacing w:before="0" w:after="120" w:line="360" w:lineRule="auto"/>
        <w:jc w:val="both"/>
        <w:rPr>
          <w:rFonts w:ascii="Times New Roman" w:hAnsi="Times New Roman" w:cs="Times New Roman"/>
          <w:sz w:val="24"/>
          <w:szCs w:val="24"/>
        </w:rPr>
      </w:pPr>
      <w:bookmarkStart w:id="44" w:name="_Toc465894304"/>
      <w:bookmarkStart w:id="45" w:name="_Toc466577242"/>
    </w:p>
    <w:p w:rsidR="00794CB1" w:rsidRPr="00BB024D" w:rsidRDefault="006C03A7" w:rsidP="00A63824">
      <w:pPr>
        <w:pStyle w:val="Cabealho2"/>
        <w:spacing w:before="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94CB1" w:rsidRPr="00BB024D">
        <w:rPr>
          <w:rFonts w:ascii="Times New Roman" w:hAnsi="Times New Roman" w:cs="Times New Roman"/>
          <w:sz w:val="24"/>
          <w:szCs w:val="24"/>
        </w:rPr>
        <w:t>5.3. Perspetivas de trabalhos futuros</w:t>
      </w:r>
      <w:bookmarkEnd w:id="44"/>
      <w:bookmarkEnd w:id="45"/>
    </w:p>
    <w:p w:rsidR="006C03A7" w:rsidRDefault="00794CB1" w:rsidP="00A63824">
      <w:pPr>
        <w:spacing w:after="120" w:line="360" w:lineRule="auto"/>
        <w:jc w:val="both"/>
        <w:rPr>
          <w:rFonts w:ascii="Times New Roman" w:hAnsi="Times New Roman" w:cs="Times New Roman"/>
          <w:sz w:val="24"/>
          <w:szCs w:val="24"/>
        </w:rPr>
      </w:pPr>
      <w:r w:rsidRPr="00BB024D">
        <w:rPr>
          <w:rFonts w:ascii="Times New Roman" w:hAnsi="Times New Roman" w:cs="Times New Roman"/>
          <w:sz w:val="24"/>
          <w:szCs w:val="24"/>
        </w:rPr>
        <w:t xml:space="preserve">Dada a importância que as paróquias representam na economia social, seria interessante </w:t>
      </w:r>
      <w:r w:rsidR="006C03A7">
        <w:rPr>
          <w:rFonts w:ascii="Times New Roman" w:hAnsi="Times New Roman" w:cs="Times New Roman"/>
          <w:sz w:val="24"/>
          <w:szCs w:val="24"/>
        </w:rPr>
        <w:t xml:space="preserve">a realização de um estudo mais abrangente, que incluísse uma maior </w:t>
      </w:r>
      <w:r w:rsidRPr="00BB024D">
        <w:rPr>
          <w:rFonts w:ascii="Times New Roman" w:hAnsi="Times New Roman" w:cs="Times New Roman"/>
          <w:sz w:val="24"/>
          <w:szCs w:val="24"/>
        </w:rPr>
        <w:t>quantidade e diversi</w:t>
      </w:r>
      <w:r w:rsidR="006C03A7">
        <w:rPr>
          <w:rFonts w:ascii="Times New Roman" w:hAnsi="Times New Roman" w:cs="Times New Roman"/>
          <w:sz w:val="24"/>
          <w:szCs w:val="24"/>
        </w:rPr>
        <w:t xml:space="preserve">dade de </w:t>
      </w:r>
      <w:r w:rsidRPr="00BB024D">
        <w:rPr>
          <w:rFonts w:ascii="Times New Roman" w:hAnsi="Times New Roman" w:cs="Times New Roman"/>
          <w:sz w:val="24"/>
          <w:szCs w:val="24"/>
        </w:rPr>
        <w:t xml:space="preserve">paróquias, </w:t>
      </w:r>
      <w:r w:rsidR="006C03A7">
        <w:rPr>
          <w:rFonts w:ascii="Times New Roman" w:hAnsi="Times New Roman" w:cs="Times New Roman"/>
          <w:sz w:val="24"/>
          <w:szCs w:val="24"/>
        </w:rPr>
        <w:t>por forma a verificar as particularidades do enquadramento contabilístico destas entidades, bem como o regime fiscal aplicado.</w:t>
      </w:r>
    </w:p>
    <w:p w:rsidR="006C03A7" w:rsidRDefault="006C03A7" w:rsidP="00A63824">
      <w:pPr>
        <w:pStyle w:val="CitaoIntensa"/>
        <w:pBdr>
          <w:bottom w:val="none" w:sz="0" w:space="0" w:color="auto"/>
        </w:pBdr>
        <w:spacing w:before="0" w:after="120" w:line="360" w:lineRule="auto"/>
        <w:ind w:left="0" w:right="0"/>
        <w:outlineLvl w:val="0"/>
        <w:rPr>
          <w:rFonts w:ascii="Times New Roman" w:hAnsi="Times New Roman" w:cs="Times New Roman"/>
          <w:i w:val="0"/>
          <w:sz w:val="24"/>
          <w:szCs w:val="24"/>
        </w:rPr>
      </w:pPr>
    </w:p>
    <w:p w:rsidR="008A78CA" w:rsidRPr="00D76B85" w:rsidRDefault="002F6274" w:rsidP="00D76B85">
      <w:pPr>
        <w:pStyle w:val="CitaoIntensa"/>
        <w:pBdr>
          <w:bottom w:val="none" w:sz="0" w:space="0" w:color="auto"/>
        </w:pBdr>
        <w:spacing w:before="0" w:after="120" w:line="360" w:lineRule="auto"/>
        <w:ind w:left="709" w:right="0" w:hanging="709"/>
        <w:outlineLvl w:val="0"/>
        <w:rPr>
          <w:rFonts w:ascii="Times New Roman" w:hAnsi="Times New Roman" w:cs="Times New Roman"/>
          <w:noProof/>
          <w:sz w:val="24"/>
          <w:szCs w:val="24"/>
        </w:rPr>
      </w:pPr>
      <w:r w:rsidRPr="009F3FAC">
        <w:rPr>
          <w:rFonts w:ascii="Times New Roman" w:hAnsi="Times New Roman" w:cs="Times New Roman"/>
          <w:i w:val="0"/>
          <w:sz w:val="24"/>
          <w:szCs w:val="24"/>
        </w:rPr>
        <w:t>6. Referências bibliográficas</w:t>
      </w:r>
      <w:r w:rsidR="008A78CA" w:rsidRPr="00D76B85">
        <w:rPr>
          <w:rFonts w:ascii="Times New Roman" w:hAnsi="Times New Roman" w:cs="Times New Roman"/>
          <w:sz w:val="24"/>
          <w:szCs w:val="24"/>
        </w:rPr>
        <w:fldChar w:fldCharType="begin"/>
      </w:r>
      <w:r w:rsidR="008A78CA" w:rsidRPr="00D76B85">
        <w:rPr>
          <w:rFonts w:ascii="Times New Roman" w:hAnsi="Times New Roman" w:cs="Times New Roman"/>
          <w:sz w:val="24"/>
          <w:szCs w:val="24"/>
        </w:rPr>
        <w:instrText xml:space="preserve"> BIBLIOGRAPHY  \l 2070 </w:instrText>
      </w:r>
      <w:r w:rsidR="008A78CA" w:rsidRPr="00D76B85">
        <w:rPr>
          <w:rFonts w:ascii="Times New Roman" w:hAnsi="Times New Roman" w:cs="Times New Roman"/>
          <w:sz w:val="24"/>
          <w:szCs w:val="24"/>
        </w:rPr>
        <w:fldChar w:fldCharType="separate"/>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lang w:val="en-US"/>
        </w:rPr>
      </w:pPr>
      <w:r w:rsidRPr="00D76B85">
        <w:rPr>
          <w:rFonts w:ascii="Times New Roman" w:hAnsi="Times New Roman" w:cs="Times New Roman"/>
          <w:noProof/>
          <w:sz w:val="24"/>
          <w:szCs w:val="24"/>
        </w:rPr>
        <w:t xml:space="preserve">Benjamin, L. M., 2008. </w:t>
      </w:r>
      <w:r w:rsidRPr="00D76B85">
        <w:rPr>
          <w:rFonts w:ascii="Times New Roman" w:hAnsi="Times New Roman" w:cs="Times New Roman"/>
          <w:noProof/>
          <w:sz w:val="24"/>
          <w:szCs w:val="24"/>
          <w:lang w:val="en-US"/>
        </w:rPr>
        <w:t xml:space="preserve">Account space: How accountability requirements shape nonprofit practice. </w:t>
      </w:r>
      <w:r w:rsidRPr="00D76B85">
        <w:rPr>
          <w:rFonts w:ascii="Times New Roman" w:hAnsi="Times New Roman" w:cs="Times New Roman"/>
          <w:i/>
          <w:iCs/>
          <w:noProof/>
          <w:sz w:val="24"/>
          <w:szCs w:val="24"/>
          <w:lang w:val="en-US"/>
        </w:rPr>
        <w:t xml:space="preserve">Nonprofit and Voluntary Sector Quarterly, Vol. 37 (2), </w:t>
      </w:r>
      <w:r w:rsidRPr="00D76B85">
        <w:rPr>
          <w:rFonts w:ascii="Times New Roman" w:hAnsi="Times New Roman" w:cs="Times New Roman"/>
          <w:noProof/>
          <w:sz w:val="24"/>
          <w:szCs w:val="24"/>
          <w:lang w:val="en-US"/>
        </w:rPr>
        <w:t>pp. 201-223.</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Carvalho, A. O., 2016. </w:t>
      </w:r>
      <w:r w:rsidRPr="00D76B85">
        <w:rPr>
          <w:rFonts w:ascii="Times New Roman" w:hAnsi="Times New Roman" w:cs="Times New Roman"/>
          <w:i/>
          <w:iCs/>
          <w:noProof/>
          <w:sz w:val="24"/>
          <w:szCs w:val="24"/>
        </w:rPr>
        <w:t xml:space="preserve">Transparência na Prestação de Contas das Fundações: abordagem teórica e empírica, </w:t>
      </w:r>
      <w:r w:rsidRPr="00D76B85">
        <w:rPr>
          <w:rFonts w:ascii="Times New Roman" w:hAnsi="Times New Roman" w:cs="Times New Roman"/>
          <w:noProof/>
          <w:sz w:val="24"/>
          <w:szCs w:val="24"/>
        </w:rPr>
        <w:t>Tese de Doutoramento, Faculdade de Economia de Universidade do Porto, Porto: s.n.</w:t>
      </w:r>
    </w:p>
    <w:p w:rsidR="00BD58C8" w:rsidRPr="00D76B85" w:rsidRDefault="00BD58C8"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CIC: Catecismo da Igreja Católica. </w:t>
      </w:r>
      <w:r w:rsidRPr="00D76B85">
        <w:rPr>
          <w:rFonts w:ascii="Times New Roman" w:hAnsi="Times New Roman" w:cs="Times New Roman"/>
          <w:noProof/>
          <w:sz w:val="24"/>
          <w:szCs w:val="24"/>
        </w:rPr>
        <w:t>s.l.:Acedido em 16 de agosto de 2016, disponível em: http://www.vatican.va/archive/cathechism_po/index_new/prima-pagina-cic_po.html.</w:t>
      </w:r>
    </w:p>
    <w:p w:rsidR="00BD58C8" w:rsidRPr="00D76B85" w:rsidRDefault="00BD58C8"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CIRIEC: Centro Internacional de Pesquisa e Informação sobre Economia Pública, Social e Cooperativa.(2007) </w:t>
      </w:r>
      <w:r w:rsidRPr="00D76B85">
        <w:rPr>
          <w:rFonts w:ascii="Times New Roman" w:hAnsi="Times New Roman" w:cs="Times New Roman"/>
          <w:noProof/>
          <w:sz w:val="24"/>
          <w:szCs w:val="24"/>
        </w:rPr>
        <w:t>s.l.:Acedido em 27 de setembro de 2016, disponível em: http://bookshop.europa.eu/pt/a-economia-social-na-uni-o-europeia-pbQE7007068/.</w:t>
      </w:r>
    </w:p>
    <w:p w:rsidR="00BD58C8" w:rsidRPr="00D76B85" w:rsidRDefault="00BD58C8"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Concordata entre a Santa Sé e a República Portuguesa. (1940)</w:t>
      </w:r>
      <w:r w:rsidRPr="00D76B85">
        <w:rPr>
          <w:rFonts w:ascii="Times New Roman" w:hAnsi="Times New Roman" w:cs="Times New Roman"/>
          <w:noProof/>
          <w:sz w:val="24"/>
          <w:szCs w:val="24"/>
        </w:rPr>
        <w:t>s.l.:Acedido em 15 de novembro de 2015, disponível em: http://www.ucp.pt/site/resources/documents/ISDC/Texto%20da%20Concordata%20-%201940.htm.</w:t>
      </w:r>
    </w:p>
    <w:p w:rsidR="00BD58C8" w:rsidRPr="00D76B85" w:rsidRDefault="00BD58C8"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Constituição Apostólica do Sumo Pontífice João Paulo II - Fidei Depositum - para a publicação do Catecismo da Igreja Católica, de 11 de outubro de 1992. </w:t>
      </w:r>
      <w:r w:rsidRPr="00D76B85">
        <w:rPr>
          <w:rFonts w:ascii="Times New Roman" w:hAnsi="Times New Roman" w:cs="Times New Roman"/>
          <w:noProof/>
          <w:sz w:val="24"/>
          <w:szCs w:val="24"/>
        </w:rPr>
        <w:t>s.l.:Acedido em 16 de agosto de 2016, dispinível em: http://w2.vatican.va/content/john-paul-ii/pt/apost_constitutions/documents/hf_jp-ii_apc_19921011_fidei-depositum.html.</w:t>
      </w:r>
    </w:p>
    <w:p w:rsidR="00BD58C8" w:rsidRPr="00D76B85" w:rsidRDefault="00BD58C8"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Constituição Dogmática - Lumen Gentium - Sobre a Igreja. </w:t>
      </w:r>
      <w:r w:rsidRPr="00D76B85">
        <w:rPr>
          <w:rFonts w:ascii="Times New Roman" w:hAnsi="Times New Roman" w:cs="Times New Roman"/>
          <w:noProof/>
          <w:sz w:val="24"/>
          <w:szCs w:val="24"/>
        </w:rPr>
        <w:t xml:space="preserve">s.l.:Acedido em 16 de agosto de 2016, disponível em: </w:t>
      </w:r>
      <w:r w:rsidRPr="00D76B85">
        <w:rPr>
          <w:rFonts w:ascii="Times New Roman" w:hAnsi="Times New Roman" w:cs="Times New Roman"/>
          <w:noProof/>
          <w:sz w:val="24"/>
          <w:szCs w:val="24"/>
        </w:rPr>
        <w:lastRenderedPageBreak/>
        <w:t>http://www.vatican.va/archive/hist_councils/ii_vatican_council/documents/vat-ii_const_19641121_lumen-gentium_po.html.</w:t>
      </w:r>
    </w:p>
    <w:p w:rsidR="00BD58C8" w:rsidRPr="00D76B85" w:rsidRDefault="00BD58C8"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Cooperativa António Sérgio para a Economia Social (CASES, 2016).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23 de agosto de 2016, disponível em: http://www.cases.pt/ipss</w:t>
      </w:r>
    </w:p>
    <w:p w:rsidR="00BD58C8" w:rsidRPr="00D76B85" w:rsidRDefault="00BD58C8"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Evangelho de São Mateus (2009). In: </w:t>
      </w:r>
      <w:r w:rsidRPr="00D76B85">
        <w:rPr>
          <w:rFonts w:ascii="Times New Roman" w:hAnsi="Times New Roman" w:cs="Times New Roman"/>
          <w:i/>
          <w:iCs/>
          <w:noProof/>
          <w:sz w:val="24"/>
          <w:szCs w:val="24"/>
        </w:rPr>
        <w:t xml:space="preserve">Bíblia Sagrada. </w:t>
      </w:r>
      <w:r w:rsidRPr="00D76B85">
        <w:rPr>
          <w:rFonts w:ascii="Times New Roman" w:hAnsi="Times New Roman" w:cs="Times New Roman"/>
          <w:noProof/>
          <w:sz w:val="24"/>
          <w:szCs w:val="24"/>
        </w:rPr>
        <w:t>Lisboa: Difusora Bíblica, pp. 1595, 16:18.</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Ferreira, A., 2012. </w:t>
      </w:r>
      <w:r w:rsidRPr="00D76B85">
        <w:rPr>
          <w:rFonts w:ascii="Times New Roman" w:hAnsi="Times New Roman" w:cs="Times New Roman"/>
          <w:i/>
          <w:iCs/>
          <w:noProof/>
          <w:sz w:val="24"/>
          <w:szCs w:val="24"/>
        </w:rPr>
        <w:t xml:space="preserve">Entidades do Setor Não Lucrativo: Comparação entre Portugal e Espanha , </w:t>
      </w:r>
      <w:r w:rsidRPr="00D76B85">
        <w:rPr>
          <w:rFonts w:ascii="Times New Roman" w:hAnsi="Times New Roman" w:cs="Times New Roman"/>
          <w:noProof/>
          <w:sz w:val="24"/>
          <w:szCs w:val="24"/>
        </w:rPr>
        <w:t>Dissertação de Mestrado, Instituto Superior de Contabilidade e Administração de Aveiro, Aveiro: s.n.</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Ferreira, S. P., 2003. Bens Eclesiásticos/Fábrica da Igreja. In: </w:t>
      </w:r>
      <w:r w:rsidRPr="00D76B85">
        <w:rPr>
          <w:rFonts w:ascii="Times New Roman" w:hAnsi="Times New Roman" w:cs="Times New Roman"/>
          <w:i/>
          <w:iCs/>
          <w:noProof/>
          <w:sz w:val="24"/>
          <w:szCs w:val="24"/>
        </w:rPr>
        <w:t xml:space="preserve">A Paróquia Comunidade de Fiéis - Atas das XI Jornadas de Direito Canónico. </w:t>
      </w:r>
      <w:r w:rsidRPr="00D76B85">
        <w:rPr>
          <w:rFonts w:ascii="Times New Roman" w:hAnsi="Times New Roman" w:cs="Times New Roman"/>
          <w:noProof/>
          <w:sz w:val="24"/>
          <w:szCs w:val="24"/>
        </w:rPr>
        <w:t>Lisboa: Centro de Estudos de Direiro Canónico da Universidade Católica Portuguesa, pp. 91-133.</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Franco, R. C. &amp; Andrade, A. M., 2007. </w:t>
      </w:r>
      <w:r w:rsidRPr="00D76B85">
        <w:rPr>
          <w:rFonts w:ascii="Times New Roman" w:hAnsi="Times New Roman" w:cs="Times New Roman"/>
          <w:i/>
          <w:iCs/>
          <w:noProof/>
          <w:sz w:val="24"/>
          <w:szCs w:val="24"/>
        </w:rPr>
        <w:t xml:space="preserve">Economia do Conhecimento e Organizações Sem Fins Lucrativos. </w:t>
      </w:r>
      <w:r w:rsidRPr="00D76B85">
        <w:rPr>
          <w:rFonts w:ascii="Times New Roman" w:hAnsi="Times New Roman" w:cs="Times New Roman"/>
          <w:noProof/>
          <w:sz w:val="24"/>
          <w:szCs w:val="24"/>
        </w:rPr>
        <w:t>Porto: Princípia Editora, Ld.ª.</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Gomes, M. S. C., 2007. As Pessoas Jurídicas Canónicas. In: </w:t>
      </w:r>
      <w:r w:rsidRPr="00D76B85">
        <w:rPr>
          <w:rFonts w:ascii="Times New Roman" w:hAnsi="Times New Roman" w:cs="Times New Roman"/>
          <w:i/>
          <w:iCs/>
          <w:noProof/>
          <w:sz w:val="24"/>
          <w:szCs w:val="24"/>
        </w:rPr>
        <w:t xml:space="preserve">Estudos sobre a Nova Concordata Santa Sé-República Portuguesa 18 de maio de 2004 - Atas das XIII Jornadas de Direito Canónico. </w:t>
      </w:r>
      <w:r w:rsidRPr="00D76B85">
        <w:rPr>
          <w:rFonts w:ascii="Times New Roman" w:hAnsi="Times New Roman" w:cs="Times New Roman"/>
          <w:noProof/>
          <w:sz w:val="24"/>
          <w:szCs w:val="24"/>
        </w:rPr>
        <w:t>Lisboa: Instituto Superior de Direito Canónico da Universidade Católica Portuguesa, pp. 59-75.</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lang w:val="en-US"/>
        </w:rPr>
        <w:t xml:space="preserve">Gray, R., Bebbington, J. &amp; Collison, D., 2006. NGOs, civil society and accountability: making the people accountable to capital. </w:t>
      </w:r>
      <w:r w:rsidRPr="00D76B85">
        <w:rPr>
          <w:rFonts w:ascii="Times New Roman" w:hAnsi="Times New Roman" w:cs="Times New Roman"/>
          <w:i/>
          <w:iCs/>
          <w:noProof/>
          <w:sz w:val="24"/>
          <w:szCs w:val="24"/>
        </w:rPr>
        <w:t xml:space="preserve">Accounting, Auditing &amp; Accountability Journal, Vol. 19:3, </w:t>
      </w:r>
      <w:r w:rsidRPr="00D76B85">
        <w:rPr>
          <w:rFonts w:ascii="Times New Roman" w:hAnsi="Times New Roman" w:cs="Times New Roman"/>
          <w:noProof/>
          <w:sz w:val="24"/>
          <w:szCs w:val="24"/>
        </w:rPr>
        <w:t>pp. 319-348.</w:t>
      </w:r>
    </w:p>
    <w:p w:rsidR="00BD58C8" w:rsidRPr="00D76B85" w:rsidRDefault="00BD58C8"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INE: Instituto Nacional de Estatística. (2013)</w:t>
      </w:r>
      <w:r w:rsidRPr="00D76B85">
        <w:rPr>
          <w:rFonts w:ascii="Times New Roman" w:hAnsi="Times New Roman" w:cs="Times New Roman"/>
          <w:noProof/>
          <w:sz w:val="24"/>
          <w:szCs w:val="24"/>
        </w:rPr>
        <w:t>s.l.:Acedido em 30 de novembro de 2015, disponível em:https://www.ine.pt/xportal/xmain?xpid=INE&amp;xpgid=ine_publicacoes&amp;PUBLICACOESpub_boui=157543613&amp;PUBLICACOESmodo=2.</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Leite, A. P., 1998. </w:t>
      </w:r>
      <w:r w:rsidRPr="00D76B85">
        <w:rPr>
          <w:rFonts w:ascii="Times New Roman" w:hAnsi="Times New Roman" w:cs="Times New Roman"/>
          <w:i/>
          <w:iCs/>
          <w:noProof/>
          <w:sz w:val="24"/>
          <w:szCs w:val="24"/>
        </w:rPr>
        <w:t xml:space="preserve">Enciclopédia Luso-Brasileira de Cultura - 4ª edição. </w:t>
      </w:r>
      <w:r w:rsidRPr="00D76B85">
        <w:rPr>
          <w:rFonts w:ascii="Times New Roman" w:hAnsi="Times New Roman" w:cs="Times New Roman"/>
          <w:noProof/>
          <w:sz w:val="24"/>
          <w:szCs w:val="24"/>
        </w:rPr>
        <w:t>Lisboa: Editorial Verbo.</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Leite, A. et al., 1983. </w:t>
      </w:r>
      <w:r w:rsidRPr="00D76B85">
        <w:rPr>
          <w:rFonts w:ascii="Times New Roman" w:hAnsi="Times New Roman" w:cs="Times New Roman"/>
          <w:i/>
          <w:iCs/>
          <w:noProof/>
          <w:sz w:val="24"/>
          <w:szCs w:val="24"/>
        </w:rPr>
        <w:t xml:space="preserve">Código de Direito Canónico. </w:t>
      </w:r>
      <w:r w:rsidRPr="00D76B85">
        <w:rPr>
          <w:rFonts w:ascii="Times New Roman" w:hAnsi="Times New Roman" w:cs="Times New Roman"/>
          <w:noProof/>
          <w:sz w:val="24"/>
          <w:szCs w:val="24"/>
        </w:rPr>
        <w:t>Braga: Editorial Apostolado da Oração.</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lastRenderedPageBreak/>
        <w:t xml:space="preserve">Lopes, L., 2015. Breves Nótulas Sobre o "Novo Estatuto" das Instituições Particulares de Solidarieadade Social no Direito Nacional e no Direito da União Europeia. </w:t>
      </w:r>
      <w:r w:rsidRPr="00D76B85">
        <w:rPr>
          <w:rFonts w:ascii="Times New Roman" w:hAnsi="Times New Roman" w:cs="Times New Roman"/>
          <w:i/>
          <w:iCs/>
          <w:noProof/>
          <w:sz w:val="24"/>
          <w:szCs w:val="24"/>
        </w:rPr>
        <w:t>Cooperativismo e Economía Social</w:t>
      </w:r>
      <w:r w:rsidRPr="00D76B85">
        <w:rPr>
          <w:rFonts w:ascii="Times New Roman" w:hAnsi="Times New Roman" w:cs="Times New Roman"/>
          <w:noProof/>
          <w:sz w:val="24"/>
          <w:szCs w:val="24"/>
        </w:rPr>
        <w:t>, pp. 139-164.</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Madaleno, A., 2013. Breve Introdução ao Estudo das Leis Canónicas. </w:t>
      </w:r>
      <w:r w:rsidRPr="00D76B85">
        <w:rPr>
          <w:rFonts w:ascii="Times New Roman" w:hAnsi="Times New Roman" w:cs="Times New Roman"/>
          <w:i/>
          <w:iCs/>
          <w:noProof/>
          <w:sz w:val="24"/>
          <w:szCs w:val="24"/>
        </w:rPr>
        <w:t>Gaudium Sciendi</w:t>
      </w:r>
      <w:r w:rsidRPr="00D76B85">
        <w:rPr>
          <w:rFonts w:ascii="Times New Roman" w:hAnsi="Times New Roman" w:cs="Times New Roman"/>
          <w:noProof/>
          <w:sz w:val="24"/>
          <w:szCs w:val="24"/>
        </w:rPr>
        <w:t>, pp. 69-99.</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Meira, D. A., 2013. A Lei de Bases da Economia Social Portuguesa: do projeto ao texto final.. </w:t>
      </w:r>
      <w:r w:rsidRPr="00D76B85">
        <w:rPr>
          <w:rFonts w:ascii="Times New Roman" w:hAnsi="Times New Roman" w:cs="Times New Roman"/>
          <w:i/>
          <w:iCs/>
          <w:noProof/>
          <w:sz w:val="24"/>
          <w:szCs w:val="24"/>
        </w:rPr>
        <w:t>CIRIEC-España, revista jurídica de economia social y cooperativa, n.º 24</w:t>
      </w:r>
      <w:r w:rsidRPr="00D76B85">
        <w:rPr>
          <w:rFonts w:ascii="Times New Roman" w:hAnsi="Times New Roman" w:cs="Times New Roman"/>
          <w:noProof/>
          <w:sz w:val="24"/>
          <w:szCs w:val="24"/>
        </w:rPr>
        <w:t>, pp. 1-32.</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Meira, D. A., 2015. As Alterações ao Regime Jurídico das Farmácias de Oficina. Anotação ao Decreto-Lei n.º 109/2014, de 10 de julho. </w:t>
      </w:r>
      <w:r w:rsidRPr="00D76B85">
        <w:rPr>
          <w:rFonts w:ascii="Times New Roman" w:hAnsi="Times New Roman" w:cs="Times New Roman"/>
          <w:i/>
          <w:iCs/>
          <w:noProof/>
          <w:sz w:val="24"/>
          <w:szCs w:val="24"/>
        </w:rPr>
        <w:t>Cooperativismo e Economía Social</w:t>
      </w:r>
      <w:r w:rsidRPr="00D76B85">
        <w:rPr>
          <w:rFonts w:ascii="Times New Roman" w:hAnsi="Times New Roman" w:cs="Times New Roman"/>
          <w:noProof/>
          <w:sz w:val="24"/>
          <w:szCs w:val="24"/>
        </w:rPr>
        <w:t>, pp. 357-367.</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Mesquita, P. D., 2014. A Tutela das Misericórdias e o Âmbito das Jurisdições Eclesiásticas e do Estado. </w:t>
      </w:r>
      <w:r w:rsidRPr="00D76B85">
        <w:rPr>
          <w:rFonts w:ascii="Times New Roman" w:hAnsi="Times New Roman" w:cs="Times New Roman"/>
          <w:i/>
          <w:iCs/>
          <w:noProof/>
          <w:sz w:val="24"/>
          <w:szCs w:val="24"/>
        </w:rPr>
        <w:t>Julgar, n.º 23</w:t>
      </w:r>
      <w:r w:rsidRPr="00D76B85">
        <w:rPr>
          <w:rFonts w:ascii="Times New Roman" w:hAnsi="Times New Roman" w:cs="Times New Roman"/>
          <w:noProof/>
          <w:sz w:val="24"/>
          <w:szCs w:val="24"/>
        </w:rPr>
        <w:t>, pp. 107-139.</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Monzón, J. L. &amp; Chaves, R., 2008. </w:t>
      </w:r>
      <w:r w:rsidRPr="00D76B85">
        <w:rPr>
          <w:rFonts w:ascii="Times New Roman" w:hAnsi="Times New Roman" w:cs="Times New Roman"/>
          <w:i/>
          <w:iCs/>
          <w:noProof/>
          <w:sz w:val="24"/>
          <w:szCs w:val="24"/>
        </w:rPr>
        <w:t xml:space="preserve">A Economia Social na União Europeia. </w:t>
      </w:r>
      <w:r w:rsidRPr="00D76B85">
        <w:rPr>
          <w:rFonts w:ascii="Times New Roman" w:hAnsi="Times New Roman" w:cs="Times New Roman"/>
          <w:noProof/>
          <w:sz w:val="24"/>
          <w:szCs w:val="24"/>
        </w:rPr>
        <w:t xml:space="preserve">[Online] </w:t>
      </w:r>
      <w:r w:rsidRPr="00D76B85">
        <w:rPr>
          <w:rFonts w:ascii="Times New Roman" w:hAnsi="Times New Roman" w:cs="Times New Roman"/>
          <w:noProof/>
          <w:sz w:val="24"/>
          <w:szCs w:val="24"/>
        </w:rPr>
        <w:br/>
        <w:t xml:space="preserve">Available at: </w:t>
      </w:r>
      <w:r w:rsidRPr="00D76B85">
        <w:rPr>
          <w:rFonts w:ascii="Times New Roman" w:hAnsi="Times New Roman" w:cs="Times New Roman"/>
          <w:noProof/>
          <w:sz w:val="24"/>
          <w:szCs w:val="24"/>
          <w:u w:val="single"/>
        </w:rPr>
        <w:t>Acedido em 29 de outubro de 2016, disponível em: http://www.eesc.europa.eu/resources/docs/a_ces11042-2012_00_00_tra_etu_pt.pdf</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lang w:val="en-US"/>
        </w:rPr>
        <w:t xml:space="preserve">Quivy, R. &amp; Campenhoudt, L. V., 2005. </w:t>
      </w:r>
      <w:r w:rsidRPr="00D76B85">
        <w:rPr>
          <w:rFonts w:ascii="Times New Roman" w:hAnsi="Times New Roman" w:cs="Times New Roman"/>
          <w:i/>
          <w:iCs/>
          <w:noProof/>
          <w:sz w:val="24"/>
          <w:szCs w:val="24"/>
        </w:rPr>
        <w:t xml:space="preserve">Manual de investigação em ciências sociais. </w:t>
      </w:r>
      <w:r w:rsidRPr="00D76B85">
        <w:rPr>
          <w:rFonts w:ascii="Times New Roman" w:hAnsi="Times New Roman" w:cs="Times New Roman"/>
          <w:noProof/>
          <w:sz w:val="24"/>
          <w:szCs w:val="24"/>
        </w:rPr>
        <w:t>(4ª edição) Lisboa: Gradiva - Publicações, Ld.ª.</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Reese, T. J., 1998. </w:t>
      </w:r>
      <w:r w:rsidRPr="00D76B85">
        <w:rPr>
          <w:rFonts w:ascii="Times New Roman" w:hAnsi="Times New Roman" w:cs="Times New Roman"/>
          <w:i/>
          <w:iCs/>
          <w:noProof/>
          <w:sz w:val="24"/>
          <w:szCs w:val="24"/>
        </w:rPr>
        <w:t xml:space="preserve">No Interior do Vaticano. </w:t>
      </w:r>
      <w:r w:rsidRPr="00D76B85">
        <w:rPr>
          <w:rFonts w:ascii="Times New Roman" w:hAnsi="Times New Roman" w:cs="Times New Roman"/>
          <w:noProof/>
          <w:sz w:val="24"/>
          <w:szCs w:val="24"/>
        </w:rPr>
        <w:t>Sintra: Publicações Europa-América, Ld.ª.</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Santos, J. G., Raimundo, J. N. &amp; Lima, R., 2012. </w:t>
      </w:r>
      <w:r w:rsidRPr="00D76B85">
        <w:rPr>
          <w:rFonts w:ascii="Times New Roman" w:hAnsi="Times New Roman" w:cs="Times New Roman"/>
          <w:i/>
          <w:iCs/>
          <w:noProof/>
          <w:sz w:val="24"/>
          <w:szCs w:val="24"/>
        </w:rPr>
        <w:t xml:space="preserve">Entidades do setor não lucrativo (NCRF-ESNL e fiscalidade). </w:t>
      </w:r>
      <w:r w:rsidRPr="00D76B85">
        <w:rPr>
          <w:rFonts w:ascii="Times New Roman" w:hAnsi="Times New Roman" w:cs="Times New Roman"/>
          <w:noProof/>
          <w:sz w:val="24"/>
          <w:szCs w:val="24"/>
        </w:rPr>
        <w:t>Lisboa: Ordem dos Tecnicos Oficiais de Contas.</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Silva, S., Santos, N., Mota, J. &amp; Martín, I., 2014. </w:t>
      </w:r>
      <w:r w:rsidRPr="00D76B85">
        <w:rPr>
          <w:rFonts w:ascii="Times New Roman" w:hAnsi="Times New Roman" w:cs="Times New Roman"/>
          <w:i/>
          <w:iCs/>
          <w:noProof/>
          <w:sz w:val="24"/>
          <w:szCs w:val="24"/>
        </w:rPr>
        <w:t xml:space="preserve">Sustentabilidade das Instituições Particulares de Solidariedade Social em Portugal. </w:t>
      </w:r>
      <w:r w:rsidRPr="00D76B85">
        <w:rPr>
          <w:rFonts w:ascii="Times New Roman" w:hAnsi="Times New Roman" w:cs="Times New Roman"/>
          <w:noProof/>
          <w:sz w:val="24"/>
          <w:szCs w:val="24"/>
        </w:rPr>
        <w:t>s.l.:s.n.</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noProof/>
          <w:sz w:val="24"/>
          <w:szCs w:val="24"/>
        </w:rPr>
        <w:t xml:space="preserve">Sousa, M. J. &amp; Baptista, C. S., 2011. </w:t>
      </w:r>
      <w:r w:rsidRPr="00D76B85">
        <w:rPr>
          <w:rFonts w:ascii="Times New Roman" w:hAnsi="Times New Roman" w:cs="Times New Roman"/>
          <w:i/>
          <w:iCs/>
          <w:noProof/>
          <w:sz w:val="24"/>
          <w:szCs w:val="24"/>
        </w:rPr>
        <w:t xml:space="preserve">Como fazer investigação, dissertações, teses e relatórios. </w:t>
      </w:r>
      <w:r w:rsidRPr="00D76B85">
        <w:rPr>
          <w:rFonts w:ascii="Times New Roman" w:hAnsi="Times New Roman" w:cs="Times New Roman"/>
          <w:noProof/>
          <w:sz w:val="24"/>
          <w:szCs w:val="24"/>
        </w:rPr>
        <w:t>Lisboa: Pactor - Edições de Ciências Sociais e Política Contemporânea.</w:t>
      </w:r>
    </w:p>
    <w:p w:rsidR="008A78CA" w:rsidRPr="00D76B85" w:rsidRDefault="008A78CA" w:rsidP="00D76B85">
      <w:pPr>
        <w:spacing w:after="120" w:line="360" w:lineRule="auto"/>
        <w:ind w:left="709" w:hanging="709"/>
        <w:jc w:val="both"/>
        <w:rPr>
          <w:rFonts w:ascii="Times New Roman" w:hAnsi="Times New Roman" w:cs="Times New Roman"/>
          <w:sz w:val="24"/>
          <w:szCs w:val="24"/>
          <w:lang w:val="en-US"/>
        </w:rPr>
      </w:pPr>
      <w:r w:rsidRPr="00D76B85">
        <w:rPr>
          <w:rFonts w:ascii="Times New Roman" w:hAnsi="Times New Roman" w:cs="Times New Roman"/>
          <w:sz w:val="24"/>
          <w:szCs w:val="24"/>
        </w:rPr>
        <w:fldChar w:fldCharType="end"/>
      </w:r>
    </w:p>
    <w:p w:rsidR="008A78CA" w:rsidRPr="00D76B85" w:rsidRDefault="00D413DE" w:rsidP="00D76B85">
      <w:pPr>
        <w:spacing w:after="120" w:line="360" w:lineRule="auto"/>
        <w:ind w:left="709" w:hanging="709"/>
        <w:jc w:val="both"/>
        <w:rPr>
          <w:rFonts w:ascii="Times New Roman" w:hAnsi="Times New Roman" w:cs="Times New Roman"/>
          <w:noProof/>
          <w:sz w:val="24"/>
          <w:szCs w:val="24"/>
        </w:rPr>
      </w:pPr>
      <w:r w:rsidRPr="00D76B85">
        <w:rPr>
          <w:rFonts w:ascii="Times New Roman" w:hAnsi="Times New Roman" w:cs="Times New Roman"/>
          <w:b/>
          <w:sz w:val="24"/>
          <w:szCs w:val="24"/>
        </w:rPr>
        <w:t>Legislação Utilizada</w:t>
      </w:r>
      <w:r w:rsidR="008A78CA" w:rsidRPr="00D76B85">
        <w:rPr>
          <w:rFonts w:ascii="Times New Roman" w:hAnsi="Times New Roman" w:cs="Times New Roman"/>
          <w:sz w:val="24"/>
          <w:szCs w:val="24"/>
        </w:rPr>
        <w:fldChar w:fldCharType="begin"/>
      </w:r>
      <w:r w:rsidR="008A78CA" w:rsidRPr="00D76B85">
        <w:rPr>
          <w:rFonts w:ascii="Times New Roman" w:hAnsi="Times New Roman" w:cs="Times New Roman"/>
          <w:sz w:val="24"/>
          <w:szCs w:val="24"/>
        </w:rPr>
        <w:instrText xml:space="preserve"> BIBLIOGRAPHY  \l 2070 </w:instrText>
      </w:r>
      <w:r w:rsidR="008A78CA" w:rsidRPr="00D76B85">
        <w:rPr>
          <w:rFonts w:ascii="Times New Roman" w:hAnsi="Times New Roman" w:cs="Times New Roman"/>
          <w:sz w:val="24"/>
          <w:szCs w:val="24"/>
        </w:rPr>
        <w:fldChar w:fldCharType="separate"/>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Decreto-Lei n.º 119/83, de 25 de fevereiro, que aprova o Estatuto das IPSS. </w:t>
      </w:r>
      <w:r w:rsidRPr="00D76B85">
        <w:rPr>
          <w:rFonts w:ascii="Times New Roman" w:hAnsi="Times New Roman" w:cs="Times New Roman"/>
          <w:noProof/>
          <w:sz w:val="24"/>
          <w:szCs w:val="24"/>
        </w:rPr>
        <w:t>s.l.:s.n.</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Decreto-Lei n.º 172-A/2014, de 14 de novembro, que alterou e republicou o Estatuto das Instituições Particulares de Solidariedade Social, aprovado pelo Decreto-Lei n.º 119/83, de 25 de fevereiro. </w:t>
      </w:r>
      <w:r w:rsidRPr="00D76B85">
        <w:rPr>
          <w:rFonts w:ascii="Times New Roman" w:hAnsi="Times New Roman" w:cs="Times New Roman"/>
          <w:noProof/>
          <w:sz w:val="24"/>
          <w:szCs w:val="24"/>
        </w:rPr>
        <w:t>s.l.:s.n.</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lastRenderedPageBreak/>
        <w:t xml:space="preserve">Lei n.º 30/2013, de 8 de maio, que aprova a Lei de Bases da Economia Social.. </w:t>
      </w:r>
      <w:r w:rsidRPr="00D76B85">
        <w:rPr>
          <w:rFonts w:ascii="Times New Roman" w:hAnsi="Times New Roman" w:cs="Times New Roman"/>
          <w:noProof/>
          <w:sz w:val="24"/>
          <w:szCs w:val="24"/>
        </w:rPr>
        <w:t>s.l.:s.n.</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Portaria n.º 220/2015, de 24 de julho, que aprova os modelos de demonstrações financeiras para as diferentes entidades que aplicam o SNC. </w:t>
      </w:r>
      <w:r w:rsidRPr="00D76B85">
        <w:rPr>
          <w:rFonts w:ascii="Times New Roman" w:hAnsi="Times New Roman" w:cs="Times New Roman"/>
          <w:noProof/>
          <w:sz w:val="24"/>
          <w:szCs w:val="24"/>
        </w:rPr>
        <w:t>s.l.:s.n.</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Resolução da Assembleia da República n.º 74/2004, que aprova, para ratificação, a Concordata entre a República Portuguesa e a Santa Sé assinada em 18 de maio de 2004 na cidade do Vaticano. </w:t>
      </w:r>
      <w:r w:rsidRPr="00D76B85">
        <w:rPr>
          <w:rFonts w:ascii="Times New Roman" w:hAnsi="Times New Roman" w:cs="Times New Roman"/>
          <w:noProof/>
          <w:sz w:val="24"/>
          <w:szCs w:val="24"/>
        </w:rPr>
        <w:t>s.l.:s.n.</w:t>
      </w:r>
    </w:p>
    <w:p w:rsidR="008A78CA" w:rsidRPr="00D76B85" w:rsidRDefault="008A78CA" w:rsidP="00D76B85">
      <w:pPr>
        <w:spacing w:after="120" w:line="360" w:lineRule="auto"/>
        <w:ind w:left="709" w:hanging="709"/>
        <w:rPr>
          <w:rFonts w:ascii="Times New Roman" w:hAnsi="Times New Roman" w:cs="Times New Roman"/>
          <w:sz w:val="24"/>
          <w:szCs w:val="24"/>
        </w:rPr>
      </w:pPr>
      <w:r w:rsidRPr="00D76B85">
        <w:rPr>
          <w:rFonts w:ascii="Times New Roman" w:hAnsi="Times New Roman" w:cs="Times New Roman"/>
          <w:sz w:val="24"/>
          <w:szCs w:val="24"/>
        </w:rPr>
        <w:fldChar w:fldCharType="end"/>
      </w:r>
    </w:p>
    <w:p w:rsidR="008A78CA" w:rsidRPr="00D76B85" w:rsidRDefault="00D413DE" w:rsidP="00D76B85">
      <w:pPr>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b/>
          <w:i/>
          <w:sz w:val="24"/>
          <w:szCs w:val="24"/>
        </w:rPr>
        <w:t>Sites</w:t>
      </w:r>
      <w:r w:rsidRPr="00D76B85">
        <w:rPr>
          <w:rFonts w:ascii="Times New Roman" w:hAnsi="Times New Roman" w:cs="Times New Roman"/>
          <w:b/>
          <w:sz w:val="24"/>
          <w:szCs w:val="24"/>
        </w:rPr>
        <w:t xml:space="preserve"> consultados</w:t>
      </w:r>
      <w:r w:rsidR="008A78CA" w:rsidRPr="00D76B85">
        <w:rPr>
          <w:rFonts w:ascii="Times New Roman" w:hAnsi="Times New Roman" w:cs="Times New Roman"/>
          <w:b/>
          <w:sz w:val="24"/>
          <w:szCs w:val="24"/>
        </w:rPr>
        <w:fldChar w:fldCharType="begin"/>
      </w:r>
      <w:r w:rsidR="008A78CA" w:rsidRPr="00D76B85">
        <w:rPr>
          <w:rFonts w:ascii="Times New Roman" w:hAnsi="Times New Roman" w:cs="Times New Roman"/>
          <w:b/>
          <w:sz w:val="24"/>
          <w:szCs w:val="24"/>
        </w:rPr>
        <w:instrText xml:space="preserve"> BIBLIOGRAPHY  \l 2070 </w:instrText>
      </w:r>
      <w:r w:rsidR="008A78CA" w:rsidRPr="00D76B85">
        <w:rPr>
          <w:rFonts w:ascii="Times New Roman" w:hAnsi="Times New Roman" w:cs="Times New Roman"/>
          <w:b/>
          <w:sz w:val="24"/>
          <w:szCs w:val="24"/>
        </w:rPr>
        <w:fldChar w:fldCharType="separate"/>
      </w:r>
    </w:p>
    <w:p w:rsidR="008D56F4"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A Santa Sé.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16 de agosto, disponível em: http://w2.vatican.va/content/vatican/pt.html</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Anuário Católico.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maio de 2016, disponível em: http://www.anuariocatolicoportugal.net/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Conferência Episcopal Portuguesa.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maio de 2016, disponível em: http://www.conferenciaepiscopal.pt/v1/</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da Guarda.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http://www.diocesedaguarda.pt/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das Forças Armadas e das Forças de Segurança.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http://ordinariato.castrense.pt/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Angra.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http://www.diocesedeangra.pt/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Aveiro.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http://www.diocese-aveiro.pt/v2/</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Beja.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http://www.diocese-beja.pt/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Braga.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http://www.arquidiocese-braga.pt/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Bragança-Miranda.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http://diocesebm.pt/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lastRenderedPageBreak/>
        <w:t xml:space="preserve">Diocese de Coimbra.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http://www.diocesedecoimbra.pt/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Évora.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http://dioceseevora.pt/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Lamego.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http://www.diocese-lamego.pt/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Leiria-Fátima.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http://www.leiria-fatima.pt/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Lisboa.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http://www.patriarcado-lisboa.pt/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Portalegre-Castelo Branco.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http://www.portalegre-castelobranco.pt/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Santarém.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http://diocese-santarem.pt/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Setúbal.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http://www.diocese-setubal.pt/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Viana do Castelo.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http://www.diocesedeviana.pt/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Vila Real.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http://www.diocese-vilareal.pt/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de Viseu.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http://www.diocesedeviseu.pt/site/</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do Algarve.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http://diocese-algarve.pt/</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do Funchal.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http://www.diocesedofunchal.com/</w:t>
      </w:r>
    </w:p>
    <w:p w:rsidR="008A78CA" w:rsidRPr="00D76B85" w:rsidRDefault="008A78CA" w:rsidP="00D76B85">
      <w:pPr>
        <w:pStyle w:val="Bibliografia"/>
        <w:spacing w:after="120" w:line="360" w:lineRule="auto"/>
        <w:ind w:left="709" w:hanging="709"/>
        <w:rPr>
          <w:rFonts w:ascii="Times New Roman" w:hAnsi="Times New Roman" w:cs="Times New Roman"/>
          <w:noProof/>
          <w:sz w:val="24"/>
          <w:szCs w:val="24"/>
        </w:rPr>
      </w:pPr>
      <w:r w:rsidRPr="00D76B85">
        <w:rPr>
          <w:rFonts w:ascii="Times New Roman" w:hAnsi="Times New Roman" w:cs="Times New Roman"/>
          <w:i/>
          <w:iCs/>
          <w:noProof/>
          <w:sz w:val="24"/>
          <w:szCs w:val="24"/>
        </w:rPr>
        <w:t xml:space="preserve">Diocese do Porto. </w:t>
      </w:r>
      <w:r w:rsidRPr="00D76B85">
        <w:rPr>
          <w:rFonts w:ascii="Times New Roman" w:hAnsi="Times New Roman" w:cs="Times New Roman"/>
          <w:noProof/>
          <w:sz w:val="24"/>
          <w:szCs w:val="24"/>
        </w:rPr>
        <w:t xml:space="preserve">[Online] Available at: </w:t>
      </w:r>
      <w:r w:rsidRPr="00D76B85">
        <w:rPr>
          <w:rFonts w:ascii="Times New Roman" w:hAnsi="Times New Roman" w:cs="Times New Roman"/>
          <w:noProof/>
          <w:sz w:val="24"/>
          <w:szCs w:val="24"/>
          <w:u w:val="single"/>
        </w:rPr>
        <w:t>Acedido em 18 de junho de 2016, disponível em: http://www.diocese-porto.pt/</w:t>
      </w:r>
    </w:p>
    <w:p w:rsidR="00D413DE" w:rsidRPr="00D76B85" w:rsidRDefault="008A78CA" w:rsidP="00D76B85">
      <w:pPr>
        <w:spacing w:after="120" w:line="360" w:lineRule="auto"/>
        <w:ind w:left="709" w:hanging="709"/>
        <w:jc w:val="both"/>
        <w:rPr>
          <w:rFonts w:ascii="Times New Roman" w:hAnsi="Times New Roman" w:cs="Times New Roman"/>
          <w:b/>
          <w:sz w:val="24"/>
          <w:szCs w:val="24"/>
          <w:lang w:val="en-US"/>
        </w:rPr>
      </w:pPr>
      <w:r w:rsidRPr="00D76B85">
        <w:rPr>
          <w:rFonts w:ascii="Times New Roman" w:hAnsi="Times New Roman" w:cs="Times New Roman"/>
          <w:b/>
          <w:sz w:val="24"/>
          <w:szCs w:val="24"/>
        </w:rPr>
        <w:fldChar w:fldCharType="end"/>
      </w:r>
    </w:p>
    <w:sectPr w:rsidR="00D413DE" w:rsidRPr="00D76B85" w:rsidSect="00BB024D">
      <w:footerReference w:type="default" r:id="rId14"/>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482B" w:rsidRDefault="0074482B" w:rsidP="00471855">
      <w:pPr>
        <w:spacing w:after="0" w:line="240" w:lineRule="auto"/>
      </w:pPr>
      <w:r>
        <w:separator/>
      </w:r>
    </w:p>
  </w:endnote>
  <w:endnote w:type="continuationSeparator" w:id="0">
    <w:p w:rsidR="0074482B" w:rsidRDefault="0074482B" w:rsidP="004718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2884454"/>
      <w:docPartObj>
        <w:docPartGallery w:val="Page Numbers (Bottom of Page)"/>
        <w:docPartUnique/>
      </w:docPartObj>
    </w:sdtPr>
    <w:sdtContent>
      <w:p w:rsidR="008E17E3" w:rsidRDefault="008E17E3">
        <w:pPr>
          <w:pStyle w:val="Rodap"/>
          <w:jc w:val="center"/>
        </w:pPr>
        <w:r>
          <w:fldChar w:fldCharType="begin"/>
        </w:r>
        <w:r>
          <w:instrText>PAGE   \* MERGEFORMAT</w:instrText>
        </w:r>
        <w:r>
          <w:fldChar w:fldCharType="separate"/>
        </w:r>
        <w:r w:rsidR="00D76B85">
          <w:rPr>
            <w:noProof/>
          </w:rPr>
          <w:t>1</w:t>
        </w:r>
        <w:r>
          <w:fldChar w:fldCharType="end"/>
        </w:r>
      </w:p>
    </w:sdtContent>
  </w:sdt>
  <w:p w:rsidR="00210D28" w:rsidRDefault="00210D28">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482B" w:rsidRDefault="0074482B" w:rsidP="00471855">
      <w:pPr>
        <w:spacing w:after="0" w:line="240" w:lineRule="auto"/>
      </w:pPr>
      <w:r>
        <w:separator/>
      </w:r>
    </w:p>
  </w:footnote>
  <w:footnote w:type="continuationSeparator" w:id="0">
    <w:p w:rsidR="0074482B" w:rsidRDefault="0074482B" w:rsidP="004718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A179B"/>
    <w:multiLevelType w:val="hybridMultilevel"/>
    <w:tmpl w:val="BA76EC96"/>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1" w15:restartNumberingAfterBreak="0">
    <w:nsid w:val="04CD58C1"/>
    <w:multiLevelType w:val="hybridMultilevel"/>
    <w:tmpl w:val="8E2A860E"/>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2" w15:restartNumberingAfterBreak="0">
    <w:nsid w:val="07753CCA"/>
    <w:multiLevelType w:val="hybridMultilevel"/>
    <w:tmpl w:val="5E64886A"/>
    <w:lvl w:ilvl="0" w:tplc="D270C24A">
      <w:start w:val="1"/>
      <w:numFmt w:val="lowerLetter"/>
      <w:lvlText w:val="%1)"/>
      <w:lvlJc w:val="left"/>
      <w:pPr>
        <w:ind w:left="720" w:hanging="360"/>
      </w:pPr>
      <w:rPr>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07FE4B20"/>
    <w:multiLevelType w:val="hybridMultilevel"/>
    <w:tmpl w:val="158AC030"/>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15:restartNumberingAfterBreak="0">
    <w:nsid w:val="0D3B3CD6"/>
    <w:multiLevelType w:val="hybridMultilevel"/>
    <w:tmpl w:val="4EF4611E"/>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5" w15:restartNumberingAfterBreak="0">
    <w:nsid w:val="118C62DE"/>
    <w:multiLevelType w:val="hybridMultilevel"/>
    <w:tmpl w:val="6D0CD5A6"/>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Marlett" w:hAnsi="Marlett"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Marlett" w:hAnsi="Marlett"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Marlett" w:hAnsi="Marlett" w:hint="default"/>
      </w:rPr>
    </w:lvl>
  </w:abstractNum>
  <w:abstractNum w:abstractNumId="6" w15:restartNumberingAfterBreak="0">
    <w:nsid w:val="21085AC1"/>
    <w:multiLevelType w:val="hybridMultilevel"/>
    <w:tmpl w:val="AD66C06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7" w15:restartNumberingAfterBreak="0">
    <w:nsid w:val="27E53726"/>
    <w:multiLevelType w:val="hybridMultilevel"/>
    <w:tmpl w:val="F9282AFA"/>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Marlett" w:hAnsi="Marlett"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Marlett" w:hAnsi="Marlett"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Marlett" w:hAnsi="Marlett" w:hint="default"/>
      </w:rPr>
    </w:lvl>
  </w:abstractNum>
  <w:abstractNum w:abstractNumId="8" w15:restartNumberingAfterBreak="0">
    <w:nsid w:val="2BE41696"/>
    <w:multiLevelType w:val="hybridMultilevel"/>
    <w:tmpl w:val="3AC2947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2CC703EE"/>
    <w:multiLevelType w:val="hybridMultilevel"/>
    <w:tmpl w:val="EF9A6A9A"/>
    <w:lvl w:ilvl="0" w:tplc="08160011">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2CD35FA8"/>
    <w:multiLevelType w:val="hybridMultilevel"/>
    <w:tmpl w:val="DAC2E47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15:restartNumberingAfterBreak="0">
    <w:nsid w:val="2FCE28B0"/>
    <w:multiLevelType w:val="hybridMultilevel"/>
    <w:tmpl w:val="63145B2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15:restartNumberingAfterBreak="0">
    <w:nsid w:val="356237A6"/>
    <w:multiLevelType w:val="hybridMultilevel"/>
    <w:tmpl w:val="4FE0AA2E"/>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38541B68"/>
    <w:multiLevelType w:val="hybridMultilevel"/>
    <w:tmpl w:val="1B0E44A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15:restartNumberingAfterBreak="0">
    <w:nsid w:val="38C10889"/>
    <w:multiLevelType w:val="hybridMultilevel"/>
    <w:tmpl w:val="2CEA51E2"/>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15" w15:restartNumberingAfterBreak="0">
    <w:nsid w:val="3D1624EE"/>
    <w:multiLevelType w:val="hybridMultilevel"/>
    <w:tmpl w:val="EFEE1AC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15:restartNumberingAfterBreak="0">
    <w:nsid w:val="3E173EFD"/>
    <w:multiLevelType w:val="hybridMultilevel"/>
    <w:tmpl w:val="4C40BCA8"/>
    <w:lvl w:ilvl="0" w:tplc="08160017">
      <w:start w:val="1"/>
      <w:numFmt w:val="lowerLetter"/>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15:restartNumberingAfterBreak="0">
    <w:nsid w:val="46160F6E"/>
    <w:multiLevelType w:val="hybridMultilevel"/>
    <w:tmpl w:val="5C0A84C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15:restartNumberingAfterBreak="0">
    <w:nsid w:val="46C82828"/>
    <w:multiLevelType w:val="hybridMultilevel"/>
    <w:tmpl w:val="08109894"/>
    <w:lvl w:ilvl="0" w:tplc="BABE9F94">
      <w:start w:val="1"/>
      <w:numFmt w:val="bullet"/>
      <w:lvlText w:val=""/>
      <w:lvlJc w:val="left"/>
      <w:pPr>
        <w:ind w:left="720" w:hanging="360"/>
      </w:pPr>
      <w:rPr>
        <w:rFonts w:ascii="Wingdings 3" w:hAnsi="Wingdings 3"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19" w15:restartNumberingAfterBreak="0">
    <w:nsid w:val="49B45496"/>
    <w:multiLevelType w:val="hybridMultilevel"/>
    <w:tmpl w:val="6C6E335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15:restartNumberingAfterBreak="0">
    <w:nsid w:val="4CE24B58"/>
    <w:multiLevelType w:val="hybridMultilevel"/>
    <w:tmpl w:val="5D0AD41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21" w15:restartNumberingAfterBreak="0">
    <w:nsid w:val="4F147B4A"/>
    <w:multiLevelType w:val="hybridMultilevel"/>
    <w:tmpl w:val="A2D6542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15:restartNumberingAfterBreak="0">
    <w:nsid w:val="535D5C40"/>
    <w:multiLevelType w:val="hybridMultilevel"/>
    <w:tmpl w:val="A1E67F3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15:restartNumberingAfterBreak="0">
    <w:nsid w:val="555F72A5"/>
    <w:multiLevelType w:val="hybridMultilevel"/>
    <w:tmpl w:val="DE40D31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24" w15:restartNumberingAfterBreak="0">
    <w:nsid w:val="567D425D"/>
    <w:multiLevelType w:val="hybridMultilevel"/>
    <w:tmpl w:val="4886A4D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25" w15:restartNumberingAfterBreak="0">
    <w:nsid w:val="5DAB3C80"/>
    <w:multiLevelType w:val="hybridMultilevel"/>
    <w:tmpl w:val="48488320"/>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6" w15:restartNumberingAfterBreak="0">
    <w:nsid w:val="5E040BA0"/>
    <w:multiLevelType w:val="hybridMultilevel"/>
    <w:tmpl w:val="417EF766"/>
    <w:lvl w:ilvl="0" w:tplc="4DAAC24A">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15:restartNumberingAfterBreak="0">
    <w:nsid w:val="5F854ECB"/>
    <w:multiLevelType w:val="hybridMultilevel"/>
    <w:tmpl w:val="069C047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28" w15:restartNumberingAfterBreak="0">
    <w:nsid w:val="60207D23"/>
    <w:multiLevelType w:val="hybridMultilevel"/>
    <w:tmpl w:val="0B8C37A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9" w15:restartNumberingAfterBreak="0">
    <w:nsid w:val="61F241A6"/>
    <w:multiLevelType w:val="hybridMultilevel"/>
    <w:tmpl w:val="FECEBFC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0" w15:restartNumberingAfterBreak="0">
    <w:nsid w:val="63AA4C57"/>
    <w:multiLevelType w:val="hybridMultilevel"/>
    <w:tmpl w:val="AA32C7CE"/>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1" w15:restartNumberingAfterBreak="0">
    <w:nsid w:val="64B67472"/>
    <w:multiLevelType w:val="hybridMultilevel"/>
    <w:tmpl w:val="DB48E58E"/>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2" w15:restartNumberingAfterBreak="0">
    <w:nsid w:val="65D44146"/>
    <w:multiLevelType w:val="hybridMultilevel"/>
    <w:tmpl w:val="D3D2B4F4"/>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3" w15:restartNumberingAfterBreak="0">
    <w:nsid w:val="6BCA73B0"/>
    <w:multiLevelType w:val="hybridMultilevel"/>
    <w:tmpl w:val="E00A5AFE"/>
    <w:lvl w:ilvl="0" w:tplc="BABE9F94">
      <w:start w:val="1"/>
      <w:numFmt w:val="bullet"/>
      <w:lvlText w:val=""/>
      <w:lvlJc w:val="left"/>
      <w:pPr>
        <w:ind w:left="720" w:hanging="360"/>
      </w:pPr>
      <w:rPr>
        <w:rFonts w:ascii="Wingdings 3" w:hAnsi="Wingdings 3"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34" w15:restartNumberingAfterBreak="0">
    <w:nsid w:val="6BD80479"/>
    <w:multiLevelType w:val="hybridMultilevel"/>
    <w:tmpl w:val="96DC0DD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5" w15:restartNumberingAfterBreak="0">
    <w:nsid w:val="6C78163A"/>
    <w:multiLevelType w:val="hybridMultilevel"/>
    <w:tmpl w:val="ECB47C9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36" w15:restartNumberingAfterBreak="0">
    <w:nsid w:val="6D14740A"/>
    <w:multiLevelType w:val="hybridMultilevel"/>
    <w:tmpl w:val="ED4042C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7" w15:restartNumberingAfterBreak="0">
    <w:nsid w:val="6E44714A"/>
    <w:multiLevelType w:val="hybridMultilevel"/>
    <w:tmpl w:val="05C4B31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8" w15:restartNumberingAfterBreak="0">
    <w:nsid w:val="76207886"/>
    <w:multiLevelType w:val="hybridMultilevel"/>
    <w:tmpl w:val="841470D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9" w15:restartNumberingAfterBreak="0">
    <w:nsid w:val="76D944D4"/>
    <w:multiLevelType w:val="hybridMultilevel"/>
    <w:tmpl w:val="51F2221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0" w15:restartNumberingAfterBreak="0">
    <w:nsid w:val="797F49ED"/>
    <w:multiLevelType w:val="hybridMultilevel"/>
    <w:tmpl w:val="4620BD2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Marlett" w:hAnsi="Marlett"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Marlett" w:hAnsi="Marlett"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Marlett" w:hAnsi="Marlett" w:hint="default"/>
      </w:rPr>
    </w:lvl>
  </w:abstractNum>
  <w:abstractNum w:abstractNumId="41" w15:restartNumberingAfterBreak="0">
    <w:nsid w:val="7A0E3DDB"/>
    <w:multiLevelType w:val="hybridMultilevel"/>
    <w:tmpl w:val="81B4384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2" w15:restartNumberingAfterBreak="0">
    <w:nsid w:val="7B2C27BA"/>
    <w:multiLevelType w:val="hybridMultilevel"/>
    <w:tmpl w:val="376ECF06"/>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3" w15:restartNumberingAfterBreak="0">
    <w:nsid w:val="7F633DAC"/>
    <w:multiLevelType w:val="hybridMultilevel"/>
    <w:tmpl w:val="661A651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12"/>
  </w:num>
  <w:num w:numId="2">
    <w:abstractNumId w:val="25"/>
  </w:num>
  <w:num w:numId="3">
    <w:abstractNumId w:val="3"/>
  </w:num>
  <w:num w:numId="4">
    <w:abstractNumId w:val="30"/>
  </w:num>
  <w:num w:numId="5">
    <w:abstractNumId w:val="31"/>
  </w:num>
  <w:num w:numId="6">
    <w:abstractNumId w:val="42"/>
  </w:num>
  <w:num w:numId="7">
    <w:abstractNumId w:val="36"/>
  </w:num>
  <w:num w:numId="8">
    <w:abstractNumId w:val="4"/>
  </w:num>
  <w:num w:numId="9">
    <w:abstractNumId w:val="13"/>
  </w:num>
  <w:num w:numId="10">
    <w:abstractNumId w:val="39"/>
  </w:num>
  <w:num w:numId="11">
    <w:abstractNumId w:val="0"/>
  </w:num>
  <w:num w:numId="12">
    <w:abstractNumId w:val="8"/>
  </w:num>
  <w:num w:numId="13">
    <w:abstractNumId w:val="22"/>
  </w:num>
  <w:num w:numId="14">
    <w:abstractNumId w:val="15"/>
  </w:num>
  <w:num w:numId="15">
    <w:abstractNumId w:val="1"/>
  </w:num>
  <w:num w:numId="16">
    <w:abstractNumId w:val="43"/>
  </w:num>
  <w:num w:numId="17">
    <w:abstractNumId w:val="19"/>
  </w:num>
  <w:num w:numId="18">
    <w:abstractNumId w:val="11"/>
  </w:num>
  <w:num w:numId="19">
    <w:abstractNumId w:val="28"/>
  </w:num>
  <w:num w:numId="20">
    <w:abstractNumId w:val="37"/>
  </w:num>
  <w:num w:numId="21">
    <w:abstractNumId w:val="6"/>
  </w:num>
  <w:num w:numId="22">
    <w:abstractNumId w:val="40"/>
  </w:num>
  <w:num w:numId="23">
    <w:abstractNumId w:val="5"/>
  </w:num>
  <w:num w:numId="24">
    <w:abstractNumId w:val="20"/>
  </w:num>
  <w:num w:numId="25">
    <w:abstractNumId w:val="35"/>
  </w:num>
  <w:num w:numId="26">
    <w:abstractNumId w:val="2"/>
  </w:num>
  <w:num w:numId="27">
    <w:abstractNumId w:val="32"/>
  </w:num>
  <w:num w:numId="28">
    <w:abstractNumId w:val="16"/>
  </w:num>
  <w:num w:numId="29">
    <w:abstractNumId w:val="24"/>
  </w:num>
  <w:num w:numId="30">
    <w:abstractNumId w:val="17"/>
  </w:num>
  <w:num w:numId="31">
    <w:abstractNumId w:val="41"/>
  </w:num>
  <w:num w:numId="32">
    <w:abstractNumId w:val="21"/>
  </w:num>
  <w:num w:numId="33">
    <w:abstractNumId w:val="14"/>
  </w:num>
  <w:num w:numId="34">
    <w:abstractNumId w:val="23"/>
  </w:num>
  <w:num w:numId="35">
    <w:abstractNumId w:val="10"/>
  </w:num>
  <w:num w:numId="36">
    <w:abstractNumId w:val="34"/>
  </w:num>
  <w:num w:numId="37">
    <w:abstractNumId w:val="9"/>
  </w:num>
  <w:num w:numId="38">
    <w:abstractNumId w:val="33"/>
  </w:num>
  <w:num w:numId="39">
    <w:abstractNumId w:val="18"/>
  </w:num>
  <w:num w:numId="40">
    <w:abstractNumId w:val="7"/>
  </w:num>
  <w:num w:numId="41">
    <w:abstractNumId w:val="27"/>
  </w:num>
  <w:num w:numId="42">
    <w:abstractNumId w:val="38"/>
  </w:num>
  <w:num w:numId="43">
    <w:abstractNumId w:val="29"/>
  </w:num>
  <w:num w:numId="44">
    <w:abstractNumId w:val="26"/>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1855"/>
    <w:rsid w:val="00003942"/>
    <w:rsid w:val="00003BD4"/>
    <w:rsid w:val="00004005"/>
    <w:rsid w:val="00005CC9"/>
    <w:rsid w:val="000063A0"/>
    <w:rsid w:val="00010250"/>
    <w:rsid w:val="000102C0"/>
    <w:rsid w:val="0001042B"/>
    <w:rsid w:val="000106F9"/>
    <w:rsid w:val="000107D2"/>
    <w:rsid w:val="00011322"/>
    <w:rsid w:val="00011951"/>
    <w:rsid w:val="00012B44"/>
    <w:rsid w:val="00012F70"/>
    <w:rsid w:val="000133CD"/>
    <w:rsid w:val="00014209"/>
    <w:rsid w:val="000170C4"/>
    <w:rsid w:val="00017C1B"/>
    <w:rsid w:val="000211AE"/>
    <w:rsid w:val="0002222F"/>
    <w:rsid w:val="0002472A"/>
    <w:rsid w:val="00027053"/>
    <w:rsid w:val="00027157"/>
    <w:rsid w:val="0003004B"/>
    <w:rsid w:val="0003107F"/>
    <w:rsid w:val="000316C3"/>
    <w:rsid w:val="00031E9E"/>
    <w:rsid w:val="00032426"/>
    <w:rsid w:val="000343AB"/>
    <w:rsid w:val="0003725F"/>
    <w:rsid w:val="000442B1"/>
    <w:rsid w:val="00045271"/>
    <w:rsid w:val="00045DEA"/>
    <w:rsid w:val="000503CE"/>
    <w:rsid w:val="00050E12"/>
    <w:rsid w:val="00052FE3"/>
    <w:rsid w:val="00053396"/>
    <w:rsid w:val="00054750"/>
    <w:rsid w:val="00054D97"/>
    <w:rsid w:val="000565E2"/>
    <w:rsid w:val="000570F1"/>
    <w:rsid w:val="0006027D"/>
    <w:rsid w:val="00062CC7"/>
    <w:rsid w:val="00063FF4"/>
    <w:rsid w:val="0007175D"/>
    <w:rsid w:val="00071A58"/>
    <w:rsid w:val="00071CFE"/>
    <w:rsid w:val="000757C8"/>
    <w:rsid w:val="00077DD3"/>
    <w:rsid w:val="00083BA1"/>
    <w:rsid w:val="00085A4B"/>
    <w:rsid w:val="00085CAD"/>
    <w:rsid w:val="00091233"/>
    <w:rsid w:val="00091353"/>
    <w:rsid w:val="0009436B"/>
    <w:rsid w:val="00095752"/>
    <w:rsid w:val="00095B47"/>
    <w:rsid w:val="0009637D"/>
    <w:rsid w:val="000966FF"/>
    <w:rsid w:val="000974E0"/>
    <w:rsid w:val="000A1AC0"/>
    <w:rsid w:val="000A3C04"/>
    <w:rsid w:val="000A4C42"/>
    <w:rsid w:val="000B09ED"/>
    <w:rsid w:val="000B1F6F"/>
    <w:rsid w:val="000B1FB0"/>
    <w:rsid w:val="000B281F"/>
    <w:rsid w:val="000B3AB1"/>
    <w:rsid w:val="000B6B58"/>
    <w:rsid w:val="000C01A4"/>
    <w:rsid w:val="000C0212"/>
    <w:rsid w:val="000C2090"/>
    <w:rsid w:val="000C2A8D"/>
    <w:rsid w:val="000C35DF"/>
    <w:rsid w:val="000C42D7"/>
    <w:rsid w:val="000C5C32"/>
    <w:rsid w:val="000C628D"/>
    <w:rsid w:val="000C6621"/>
    <w:rsid w:val="000C766C"/>
    <w:rsid w:val="000C788A"/>
    <w:rsid w:val="000D0F2A"/>
    <w:rsid w:val="000D7669"/>
    <w:rsid w:val="000E1B6C"/>
    <w:rsid w:val="000E2A72"/>
    <w:rsid w:val="000E387A"/>
    <w:rsid w:val="000F2974"/>
    <w:rsid w:val="000F3120"/>
    <w:rsid w:val="000F4630"/>
    <w:rsid w:val="000F4A2E"/>
    <w:rsid w:val="000F5376"/>
    <w:rsid w:val="000F5650"/>
    <w:rsid w:val="00103E8C"/>
    <w:rsid w:val="001045F2"/>
    <w:rsid w:val="00104C2F"/>
    <w:rsid w:val="001050E3"/>
    <w:rsid w:val="00105120"/>
    <w:rsid w:val="00106BB4"/>
    <w:rsid w:val="00107B0E"/>
    <w:rsid w:val="00111F4F"/>
    <w:rsid w:val="001134C9"/>
    <w:rsid w:val="00113E29"/>
    <w:rsid w:val="001151AE"/>
    <w:rsid w:val="001165C6"/>
    <w:rsid w:val="001211B7"/>
    <w:rsid w:val="0012206A"/>
    <w:rsid w:val="00123EEB"/>
    <w:rsid w:val="00125C0B"/>
    <w:rsid w:val="00127200"/>
    <w:rsid w:val="001321DB"/>
    <w:rsid w:val="00132355"/>
    <w:rsid w:val="001327A6"/>
    <w:rsid w:val="0013346F"/>
    <w:rsid w:val="001341EB"/>
    <w:rsid w:val="00136716"/>
    <w:rsid w:val="001407B4"/>
    <w:rsid w:val="00142CB8"/>
    <w:rsid w:val="001438FF"/>
    <w:rsid w:val="00144B7A"/>
    <w:rsid w:val="001504AD"/>
    <w:rsid w:val="00152B84"/>
    <w:rsid w:val="0015416E"/>
    <w:rsid w:val="00154570"/>
    <w:rsid w:val="00154A92"/>
    <w:rsid w:val="00154E08"/>
    <w:rsid w:val="0015507D"/>
    <w:rsid w:val="0015509B"/>
    <w:rsid w:val="00155C5C"/>
    <w:rsid w:val="001565FE"/>
    <w:rsid w:val="00157085"/>
    <w:rsid w:val="001576C3"/>
    <w:rsid w:val="0015794F"/>
    <w:rsid w:val="00160D20"/>
    <w:rsid w:val="00161C1F"/>
    <w:rsid w:val="00161F10"/>
    <w:rsid w:val="00163C6A"/>
    <w:rsid w:val="0016429F"/>
    <w:rsid w:val="00165165"/>
    <w:rsid w:val="00165995"/>
    <w:rsid w:val="0016685D"/>
    <w:rsid w:val="00166ABE"/>
    <w:rsid w:val="00167E82"/>
    <w:rsid w:val="00170D00"/>
    <w:rsid w:val="00171777"/>
    <w:rsid w:val="001725C1"/>
    <w:rsid w:val="00172FF0"/>
    <w:rsid w:val="0017434E"/>
    <w:rsid w:val="001747B0"/>
    <w:rsid w:val="001754E0"/>
    <w:rsid w:val="00175A3B"/>
    <w:rsid w:val="00176082"/>
    <w:rsid w:val="00181B23"/>
    <w:rsid w:val="00182F1D"/>
    <w:rsid w:val="00183827"/>
    <w:rsid w:val="0018418B"/>
    <w:rsid w:val="00184BBC"/>
    <w:rsid w:val="0019221F"/>
    <w:rsid w:val="0019223F"/>
    <w:rsid w:val="00192B1C"/>
    <w:rsid w:val="00193982"/>
    <w:rsid w:val="001959C3"/>
    <w:rsid w:val="00197050"/>
    <w:rsid w:val="001A2326"/>
    <w:rsid w:val="001A501A"/>
    <w:rsid w:val="001B0CEF"/>
    <w:rsid w:val="001B1FDE"/>
    <w:rsid w:val="001B2DA1"/>
    <w:rsid w:val="001B51AC"/>
    <w:rsid w:val="001B6ED7"/>
    <w:rsid w:val="001B7A7C"/>
    <w:rsid w:val="001C045F"/>
    <w:rsid w:val="001C1808"/>
    <w:rsid w:val="001C27BD"/>
    <w:rsid w:val="001C72D3"/>
    <w:rsid w:val="001C74A5"/>
    <w:rsid w:val="001D07A1"/>
    <w:rsid w:val="001D145E"/>
    <w:rsid w:val="001D1AC1"/>
    <w:rsid w:val="001D4D8F"/>
    <w:rsid w:val="001D53A8"/>
    <w:rsid w:val="001E23F5"/>
    <w:rsid w:val="001F0710"/>
    <w:rsid w:val="001F17B6"/>
    <w:rsid w:val="001F306B"/>
    <w:rsid w:val="001F3484"/>
    <w:rsid w:val="001F43B8"/>
    <w:rsid w:val="001F4456"/>
    <w:rsid w:val="001F4B54"/>
    <w:rsid w:val="001F53D9"/>
    <w:rsid w:val="001F6D58"/>
    <w:rsid w:val="001F727C"/>
    <w:rsid w:val="002020FF"/>
    <w:rsid w:val="00202AF3"/>
    <w:rsid w:val="0020349A"/>
    <w:rsid w:val="00204D44"/>
    <w:rsid w:val="00205F4B"/>
    <w:rsid w:val="0020666C"/>
    <w:rsid w:val="002105D0"/>
    <w:rsid w:val="00210D28"/>
    <w:rsid w:val="00211657"/>
    <w:rsid w:val="002119AF"/>
    <w:rsid w:val="002141A6"/>
    <w:rsid w:val="00214A7A"/>
    <w:rsid w:val="002173C5"/>
    <w:rsid w:val="002173D3"/>
    <w:rsid w:val="00220243"/>
    <w:rsid w:val="002217B7"/>
    <w:rsid w:val="00230479"/>
    <w:rsid w:val="002308CA"/>
    <w:rsid w:val="00232B86"/>
    <w:rsid w:val="00232CC7"/>
    <w:rsid w:val="00233BED"/>
    <w:rsid w:val="00235772"/>
    <w:rsid w:val="00240DAB"/>
    <w:rsid w:val="00240E25"/>
    <w:rsid w:val="002429ED"/>
    <w:rsid w:val="00243626"/>
    <w:rsid w:val="00247E2D"/>
    <w:rsid w:val="002500A4"/>
    <w:rsid w:val="002504A8"/>
    <w:rsid w:val="00250D2F"/>
    <w:rsid w:val="00251A2F"/>
    <w:rsid w:val="00255C07"/>
    <w:rsid w:val="00260A86"/>
    <w:rsid w:val="00262CA6"/>
    <w:rsid w:val="0026428E"/>
    <w:rsid w:val="00267F60"/>
    <w:rsid w:val="00270B5E"/>
    <w:rsid w:val="002743E3"/>
    <w:rsid w:val="002756B4"/>
    <w:rsid w:val="00275B47"/>
    <w:rsid w:val="00277E16"/>
    <w:rsid w:val="002807D6"/>
    <w:rsid w:val="0028136D"/>
    <w:rsid w:val="00281707"/>
    <w:rsid w:val="00281E25"/>
    <w:rsid w:val="00281F20"/>
    <w:rsid w:val="002839AE"/>
    <w:rsid w:val="00284365"/>
    <w:rsid w:val="00284B46"/>
    <w:rsid w:val="0028532C"/>
    <w:rsid w:val="0028568D"/>
    <w:rsid w:val="00287618"/>
    <w:rsid w:val="002903F9"/>
    <w:rsid w:val="002917BA"/>
    <w:rsid w:val="00294A28"/>
    <w:rsid w:val="00297A69"/>
    <w:rsid w:val="00297EFF"/>
    <w:rsid w:val="002A27CC"/>
    <w:rsid w:val="002A3E29"/>
    <w:rsid w:val="002A50EE"/>
    <w:rsid w:val="002A6054"/>
    <w:rsid w:val="002A7143"/>
    <w:rsid w:val="002B012D"/>
    <w:rsid w:val="002B3F71"/>
    <w:rsid w:val="002B4570"/>
    <w:rsid w:val="002B4AF4"/>
    <w:rsid w:val="002B4F37"/>
    <w:rsid w:val="002B5700"/>
    <w:rsid w:val="002B658B"/>
    <w:rsid w:val="002B73DC"/>
    <w:rsid w:val="002C0B0A"/>
    <w:rsid w:val="002C0E40"/>
    <w:rsid w:val="002C5611"/>
    <w:rsid w:val="002C6A68"/>
    <w:rsid w:val="002C7BAF"/>
    <w:rsid w:val="002D0B76"/>
    <w:rsid w:val="002D15E3"/>
    <w:rsid w:val="002D2AEF"/>
    <w:rsid w:val="002D3668"/>
    <w:rsid w:val="002D4F40"/>
    <w:rsid w:val="002E0208"/>
    <w:rsid w:val="002E252E"/>
    <w:rsid w:val="002E66A0"/>
    <w:rsid w:val="002E698C"/>
    <w:rsid w:val="002E69F0"/>
    <w:rsid w:val="002E6FA0"/>
    <w:rsid w:val="002F1E7F"/>
    <w:rsid w:val="002F2513"/>
    <w:rsid w:val="002F38EE"/>
    <w:rsid w:val="002F3C89"/>
    <w:rsid w:val="002F6274"/>
    <w:rsid w:val="002F7E14"/>
    <w:rsid w:val="00300CA0"/>
    <w:rsid w:val="00301642"/>
    <w:rsid w:val="00303760"/>
    <w:rsid w:val="00303DED"/>
    <w:rsid w:val="00304CF3"/>
    <w:rsid w:val="00306846"/>
    <w:rsid w:val="00307C38"/>
    <w:rsid w:val="00311023"/>
    <w:rsid w:val="003119EE"/>
    <w:rsid w:val="0031334C"/>
    <w:rsid w:val="003138F3"/>
    <w:rsid w:val="00313EB5"/>
    <w:rsid w:val="00313FB0"/>
    <w:rsid w:val="003151F9"/>
    <w:rsid w:val="0031567A"/>
    <w:rsid w:val="00315E9F"/>
    <w:rsid w:val="003179B8"/>
    <w:rsid w:val="00321115"/>
    <w:rsid w:val="00326CD3"/>
    <w:rsid w:val="00331906"/>
    <w:rsid w:val="00331ADC"/>
    <w:rsid w:val="00333342"/>
    <w:rsid w:val="00333BC6"/>
    <w:rsid w:val="00335E6D"/>
    <w:rsid w:val="00340BC1"/>
    <w:rsid w:val="00343A3D"/>
    <w:rsid w:val="00343F85"/>
    <w:rsid w:val="0034645D"/>
    <w:rsid w:val="003468E2"/>
    <w:rsid w:val="003478D6"/>
    <w:rsid w:val="003522B6"/>
    <w:rsid w:val="0035256C"/>
    <w:rsid w:val="00353BD6"/>
    <w:rsid w:val="00354D29"/>
    <w:rsid w:val="0035690A"/>
    <w:rsid w:val="00360A8B"/>
    <w:rsid w:val="0036366A"/>
    <w:rsid w:val="00363DFF"/>
    <w:rsid w:val="00364516"/>
    <w:rsid w:val="00365B7A"/>
    <w:rsid w:val="003674BD"/>
    <w:rsid w:val="00370132"/>
    <w:rsid w:val="003706B7"/>
    <w:rsid w:val="00370C1E"/>
    <w:rsid w:val="0037162F"/>
    <w:rsid w:val="0037264B"/>
    <w:rsid w:val="00372706"/>
    <w:rsid w:val="0037312C"/>
    <w:rsid w:val="00376D8D"/>
    <w:rsid w:val="00385A39"/>
    <w:rsid w:val="00386500"/>
    <w:rsid w:val="00396BAE"/>
    <w:rsid w:val="003A0809"/>
    <w:rsid w:val="003A080E"/>
    <w:rsid w:val="003A091D"/>
    <w:rsid w:val="003A1F93"/>
    <w:rsid w:val="003A1FEB"/>
    <w:rsid w:val="003A2BBE"/>
    <w:rsid w:val="003A44C7"/>
    <w:rsid w:val="003A46AF"/>
    <w:rsid w:val="003B0816"/>
    <w:rsid w:val="003B0C65"/>
    <w:rsid w:val="003B1D82"/>
    <w:rsid w:val="003B3562"/>
    <w:rsid w:val="003B4337"/>
    <w:rsid w:val="003B456D"/>
    <w:rsid w:val="003B47EF"/>
    <w:rsid w:val="003B6AB0"/>
    <w:rsid w:val="003B72F6"/>
    <w:rsid w:val="003B7C7A"/>
    <w:rsid w:val="003C1000"/>
    <w:rsid w:val="003C209C"/>
    <w:rsid w:val="003C6F38"/>
    <w:rsid w:val="003C73A5"/>
    <w:rsid w:val="003C799E"/>
    <w:rsid w:val="003D0CEF"/>
    <w:rsid w:val="003D3770"/>
    <w:rsid w:val="003D3D0B"/>
    <w:rsid w:val="003D5639"/>
    <w:rsid w:val="003E0E72"/>
    <w:rsid w:val="003E12C4"/>
    <w:rsid w:val="003E26A5"/>
    <w:rsid w:val="003E3461"/>
    <w:rsid w:val="003E3498"/>
    <w:rsid w:val="003E3679"/>
    <w:rsid w:val="003E3AAF"/>
    <w:rsid w:val="003E70AC"/>
    <w:rsid w:val="003E7143"/>
    <w:rsid w:val="003E7570"/>
    <w:rsid w:val="003F05D0"/>
    <w:rsid w:val="003F11C0"/>
    <w:rsid w:val="003F250B"/>
    <w:rsid w:val="003F3F9C"/>
    <w:rsid w:val="0040136C"/>
    <w:rsid w:val="004017DF"/>
    <w:rsid w:val="0040189D"/>
    <w:rsid w:val="00402B31"/>
    <w:rsid w:val="004035AE"/>
    <w:rsid w:val="004059F2"/>
    <w:rsid w:val="00407404"/>
    <w:rsid w:val="00407C6B"/>
    <w:rsid w:val="00413802"/>
    <w:rsid w:val="00414B22"/>
    <w:rsid w:val="00417EE8"/>
    <w:rsid w:val="004238A3"/>
    <w:rsid w:val="00423D9D"/>
    <w:rsid w:val="00423DF2"/>
    <w:rsid w:val="00424F14"/>
    <w:rsid w:val="0042670C"/>
    <w:rsid w:val="0042793E"/>
    <w:rsid w:val="0043115E"/>
    <w:rsid w:val="00431263"/>
    <w:rsid w:val="00431A9C"/>
    <w:rsid w:val="0043347F"/>
    <w:rsid w:val="004334F9"/>
    <w:rsid w:val="00433D3D"/>
    <w:rsid w:val="00434024"/>
    <w:rsid w:val="004350C3"/>
    <w:rsid w:val="0043608E"/>
    <w:rsid w:val="00437027"/>
    <w:rsid w:val="004372B4"/>
    <w:rsid w:val="0044147D"/>
    <w:rsid w:val="00441C26"/>
    <w:rsid w:val="004434BA"/>
    <w:rsid w:val="00443D36"/>
    <w:rsid w:val="00444A9A"/>
    <w:rsid w:val="00447276"/>
    <w:rsid w:val="00447A24"/>
    <w:rsid w:val="0045192A"/>
    <w:rsid w:val="00451BBA"/>
    <w:rsid w:val="004523F8"/>
    <w:rsid w:val="004533D8"/>
    <w:rsid w:val="00455B00"/>
    <w:rsid w:val="00461F85"/>
    <w:rsid w:val="0046369E"/>
    <w:rsid w:val="00464DA9"/>
    <w:rsid w:val="00465AFE"/>
    <w:rsid w:val="00466038"/>
    <w:rsid w:val="004662D3"/>
    <w:rsid w:val="00470D5A"/>
    <w:rsid w:val="00471855"/>
    <w:rsid w:val="00471E87"/>
    <w:rsid w:val="004722E9"/>
    <w:rsid w:val="004723A5"/>
    <w:rsid w:val="00473951"/>
    <w:rsid w:val="00473D33"/>
    <w:rsid w:val="004753FF"/>
    <w:rsid w:val="00475517"/>
    <w:rsid w:val="004758E1"/>
    <w:rsid w:val="00476146"/>
    <w:rsid w:val="00476EB2"/>
    <w:rsid w:val="00481292"/>
    <w:rsid w:val="00483048"/>
    <w:rsid w:val="004830C8"/>
    <w:rsid w:val="00485CB6"/>
    <w:rsid w:val="00486B45"/>
    <w:rsid w:val="0048755E"/>
    <w:rsid w:val="00487A1B"/>
    <w:rsid w:val="00487F00"/>
    <w:rsid w:val="00491C2F"/>
    <w:rsid w:val="004920D3"/>
    <w:rsid w:val="00493343"/>
    <w:rsid w:val="00494B90"/>
    <w:rsid w:val="004955E4"/>
    <w:rsid w:val="00497A85"/>
    <w:rsid w:val="00497BC4"/>
    <w:rsid w:val="00497DE5"/>
    <w:rsid w:val="004A2608"/>
    <w:rsid w:val="004A27C6"/>
    <w:rsid w:val="004A5430"/>
    <w:rsid w:val="004A62CD"/>
    <w:rsid w:val="004A7FF7"/>
    <w:rsid w:val="004B0396"/>
    <w:rsid w:val="004B3C13"/>
    <w:rsid w:val="004B653D"/>
    <w:rsid w:val="004B75B3"/>
    <w:rsid w:val="004C0A46"/>
    <w:rsid w:val="004C396C"/>
    <w:rsid w:val="004C508D"/>
    <w:rsid w:val="004C5710"/>
    <w:rsid w:val="004C6C63"/>
    <w:rsid w:val="004C7BAC"/>
    <w:rsid w:val="004D01D3"/>
    <w:rsid w:val="004D0360"/>
    <w:rsid w:val="004D284C"/>
    <w:rsid w:val="004D311E"/>
    <w:rsid w:val="004D361A"/>
    <w:rsid w:val="004D608D"/>
    <w:rsid w:val="004D6976"/>
    <w:rsid w:val="004D6BCE"/>
    <w:rsid w:val="004D6F94"/>
    <w:rsid w:val="004E245C"/>
    <w:rsid w:val="004E2B9B"/>
    <w:rsid w:val="004E71BB"/>
    <w:rsid w:val="004E7F4C"/>
    <w:rsid w:val="004F110E"/>
    <w:rsid w:val="004F134F"/>
    <w:rsid w:val="004F19EF"/>
    <w:rsid w:val="004F34FA"/>
    <w:rsid w:val="004F5931"/>
    <w:rsid w:val="004F6330"/>
    <w:rsid w:val="004F682E"/>
    <w:rsid w:val="004F69BC"/>
    <w:rsid w:val="004F781F"/>
    <w:rsid w:val="0050120F"/>
    <w:rsid w:val="00501DA3"/>
    <w:rsid w:val="00505B3A"/>
    <w:rsid w:val="00505D0E"/>
    <w:rsid w:val="0050739D"/>
    <w:rsid w:val="0051119F"/>
    <w:rsid w:val="00511463"/>
    <w:rsid w:val="00511B33"/>
    <w:rsid w:val="005122B9"/>
    <w:rsid w:val="00512CF6"/>
    <w:rsid w:val="005130F4"/>
    <w:rsid w:val="005140A5"/>
    <w:rsid w:val="005161B8"/>
    <w:rsid w:val="00516950"/>
    <w:rsid w:val="005169DB"/>
    <w:rsid w:val="00520E68"/>
    <w:rsid w:val="0052150A"/>
    <w:rsid w:val="00521C57"/>
    <w:rsid w:val="00523126"/>
    <w:rsid w:val="005263CD"/>
    <w:rsid w:val="005266C2"/>
    <w:rsid w:val="00527948"/>
    <w:rsid w:val="005300D6"/>
    <w:rsid w:val="005306D3"/>
    <w:rsid w:val="00530BE8"/>
    <w:rsid w:val="00531EF4"/>
    <w:rsid w:val="00532787"/>
    <w:rsid w:val="005330FC"/>
    <w:rsid w:val="0053357F"/>
    <w:rsid w:val="00534862"/>
    <w:rsid w:val="005371FB"/>
    <w:rsid w:val="00537370"/>
    <w:rsid w:val="005400E5"/>
    <w:rsid w:val="00540F62"/>
    <w:rsid w:val="005426F9"/>
    <w:rsid w:val="005430F4"/>
    <w:rsid w:val="00544E2E"/>
    <w:rsid w:val="0054531F"/>
    <w:rsid w:val="00545EDE"/>
    <w:rsid w:val="00546F91"/>
    <w:rsid w:val="00547424"/>
    <w:rsid w:val="00552EB7"/>
    <w:rsid w:val="0055350F"/>
    <w:rsid w:val="005538AD"/>
    <w:rsid w:val="00554E20"/>
    <w:rsid w:val="005557F0"/>
    <w:rsid w:val="00557BDD"/>
    <w:rsid w:val="00560064"/>
    <w:rsid w:val="0056098F"/>
    <w:rsid w:val="00563193"/>
    <w:rsid w:val="00571C31"/>
    <w:rsid w:val="00572609"/>
    <w:rsid w:val="00572A06"/>
    <w:rsid w:val="00573DDE"/>
    <w:rsid w:val="005762F4"/>
    <w:rsid w:val="00580C0D"/>
    <w:rsid w:val="00582AC4"/>
    <w:rsid w:val="00583196"/>
    <w:rsid w:val="00583BE7"/>
    <w:rsid w:val="005859DD"/>
    <w:rsid w:val="00586697"/>
    <w:rsid w:val="005873F0"/>
    <w:rsid w:val="005902F2"/>
    <w:rsid w:val="00593DCF"/>
    <w:rsid w:val="00594600"/>
    <w:rsid w:val="00594C56"/>
    <w:rsid w:val="00595964"/>
    <w:rsid w:val="00595C01"/>
    <w:rsid w:val="005961A6"/>
    <w:rsid w:val="005969C2"/>
    <w:rsid w:val="005A0BE5"/>
    <w:rsid w:val="005A3AA6"/>
    <w:rsid w:val="005A440F"/>
    <w:rsid w:val="005A51DD"/>
    <w:rsid w:val="005A57B2"/>
    <w:rsid w:val="005A6B53"/>
    <w:rsid w:val="005A6F75"/>
    <w:rsid w:val="005A70F1"/>
    <w:rsid w:val="005B59E2"/>
    <w:rsid w:val="005B6D30"/>
    <w:rsid w:val="005C16E6"/>
    <w:rsid w:val="005C1A42"/>
    <w:rsid w:val="005C289D"/>
    <w:rsid w:val="005C3924"/>
    <w:rsid w:val="005C3BEF"/>
    <w:rsid w:val="005C3CF7"/>
    <w:rsid w:val="005C4102"/>
    <w:rsid w:val="005C41C4"/>
    <w:rsid w:val="005C46B7"/>
    <w:rsid w:val="005C50CE"/>
    <w:rsid w:val="005C541B"/>
    <w:rsid w:val="005D0361"/>
    <w:rsid w:val="005D0514"/>
    <w:rsid w:val="005D2F21"/>
    <w:rsid w:val="005D4271"/>
    <w:rsid w:val="005D564C"/>
    <w:rsid w:val="005D6955"/>
    <w:rsid w:val="005D7BB2"/>
    <w:rsid w:val="005E4723"/>
    <w:rsid w:val="005E6E82"/>
    <w:rsid w:val="005F048D"/>
    <w:rsid w:val="005F086A"/>
    <w:rsid w:val="005F1741"/>
    <w:rsid w:val="005F3E91"/>
    <w:rsid w:val="005F4104"/>
    <w:rsid w:val="005F487C"/>
    <w:rsid w:val="00600472"/>
    <w:rsid w:val="00600A10"/>
    <w:rsid w:val="00601AAE"/>
    <w:rsid w:val="00602307"/>
    <w:rsid w:val="0060290A"/>
    <w:rsid w:val="006032EA"/>
    <w:rsid w:val="006037E3"/>
    <w:rsid w:val="006040AA"/>
    <w:rsid w:val="00606BE9"/>
    <w:rsid w:val="00607BBA"/>
    <w:rsid w:val="00611A1E"/>
    <w:rsid w:val="006147FE"/>
    <w:rsid w:val="006174BE"/>
    <w:rsid w:val="00617758"/>
    <w:rsid w:val="006240AC"/>
    <w:rsid w:val="00625596"/>
    <w:rsid w:val="006278B9"/>
    <w:rsid w:val="006303B1"/>
    <w:rsid w:val="00630491"/>
    <w:rsid w:val="00630C39"/>
    <w:rsid w:val="00630F87"/>
    <w:rsid w:val="00631ABE"/>
    <w:rsid w:val="00632BDB"/>
    <w:rsid w:val="006333EF"/>
    <w:rsid w:val="00633CD9"/>
    <w:rsid w:val="006364BD"/>
    <w:rsid w:val="00636B61"/>
    <w:rsid w:val="006372A7"/>
    <w:rsid w:val="00640A1E"/>
    <w:rsid w:val="00641E41"/>
    <w:rsid w:val="006428CC"/>
    <w:rsid w:val="006449C4"/>
    <w:rsid w:val="00645C73"/>
    <w:rsid w:val="00646F04"/>
    <w:rsid w:val="0064753A"/>
    <w:rsid w:val="00647694"/>
    <w:rsid w:val="0065150B"/>
    <w:rsid w:val="00651987"/>
    <w:rsid w:val="00652458"/>
    <w:rsid w:val="0065327B"/>
    <w:rsid w:val="0065658E"/>
    <w:rsid w:val="00656DB8"/>
    <w:rsid w:val="00656EAD"/>
    <w:rsid w:val="00657A9C"/>
    <w:rsid w:val="00657DA1"/>
    <w:rsid w:val="0066021C"/>
    <w:rsid w:val="00660801"/>
    <w:rsid w:val="00665D12"/>
    <w:rsid w:val="00665DDF"/>
    <w:rsid w:val="00666BE1"/>
    <w:rsid w:val="00667F4B"/>
    <w:rsid w:val="0067236B"/>
    <w:rsid w:val="00673553"/>
    <w:rsid w:val="0067447D"/>
    <w:rsid w:val="00675382"/>
    <w:rsid w:val="00676192"/>
    <w:rsid w:val="00676457"/>
    <w:rsid w:val="0067758F"/>
    <w:rsid w:val="006802AD"/>
    <w:rsid w:val="00682A20"/>
    <w:rsid w:val="00685695"/>
    <w:rsid w:val="00687310"/>
    <w:rsid w:val="00687A07"/>
    <w:rsid w:val="00692F13"/>
    <w:rsid w:val="00693A47"/>
    <w:rsid w:val="006948E0"/>
    <w:rsid w:val="00694B88"/>
    <w:rsid w:val="006951D5"/>
    <w:rsid w:val="0069655A"/>
    <w:rsid w:val="00696BBD"/>
    <w:rsid w:val="00697266"/>
    <w:rsid w:val="006973A9"/>
    <w:rsid w:val="006A01E7"/>
    <w:rsid w:val="006A1B23"/>
    <w:rsid w:val="006A49D8"/>
    <w:rsid w:val="006A79D5"/>
    <w:rsid w:val="006B0994"/>
    <w:rsid w:val="006B24FE"/>
    <w:rsid w:val="006B6918"/>
    <w:rsid w:val="006C03A7"/>
    <w:rsid w:val="006C04A4"/>
    <w:rsid w:val="006C06FA"/>
    <w:rsid w:val="006C13A7"/>
    <w:rsid w:val="006C1F43"/>
    <w:rsid w:val="006C3778"/>
    <w:rsid w:val="006C3B28"/>
    <w:rsid w:val="006C4086"/>
    <w:rsid w:val="006C56B3"/>
    <w:rsid w:val="006C6135"/>
    <w:rsid w:val="006C6136"/>
    <w:rsid w:val="006D1971"/>
    <w:rsid w:val="006D1E2C"/>
    <w:rsid w:val="006D4618"/>
    <w:rsid w:val="006D4644"/>
    <w:rsid w:val="006D4B82"/>
    <w:rsid w:val="006D4E84"/>
    <w:rsid w:val="006D668B"/>
    <w:rsid w:val="006D7F54"/>
    <w:rsid w:val="006E058F"/>
    <w:rsid w:val="006E2BB1"/>
    <w:rsid w:val="006E7FC3"/>
    <w:rsid w:val="006F0EC7"/>
    <w:rsid w:val="006F230E"/>
    <w:rsid w:val="006F26EA"/>
    <w:rsid w:val="006F4963"/>
    <w:rsid w:val="006F607C"/>
    <w:rsid w:val="006F6B18"/>
    <w:rsid w:val="006F7AF7"/>
    <w:rsid w:val="00702A06"/>
    <w:rsid w:val="007031C3"/>
    <w:rsid w:val="00703FF3"/>
    <w:rsid w:val="00704BBB"/>
    <w:rsid w:val="00705549"/>
    <w:rsid w:val="007060EC"/>
    <w:rsid w:val="00707699"/>
    <w:rsid w:val="00712B9A"/>
    <w:rsid w:val="00713B02"/>
    <w:rsid w:val="0071480C"/>
    <w:rsid w:val="00714BC0"/>
    <w:rsid w:val="007214D7"/>
    <w:rsid w:val="00721804"/>
    <w:rsid w:val="00721EDD"/>
    <w:rsid w:val="0072278F"/>
    <w:rsid w:val="00725AD7"/>
    <w:rsid w:val="00727259"/>
    <w:rsid w:val="00737009"/>
    <w:rsid w:val="0073704B"/>
    <w:rsid w:val="00737251"/>
    <w:rsid w:val="0073728A"/>
    <w:rsid w:val="00737DD5"/>
    <w:rsid w:val="00740FD0"/>
    <w:rsid w:val="00741C0B"/>
    <w:rsid w:val="0074408A"/>
    <w:rsid w:val="0074482B"/>
    <w:rsid w:val="007459D8"/>
    <w:rsid w:val="00745B06"/>
    <w:rsid w:val="007465BD"/>
    <w:rsid w:val="007465CC"/>
    <w:rsid w:val="00746EFB"/>
    <w:rsid w:val="007475E3"/>
    <w:rsid w:val="007500C1"/>
    <w:rsid w:val="0075018B"/>
    <w:rsid w:val="00751FCD"/>
    <w:rsid w:val="00753F87"/>
    <w:rsid w:val="00753FF6"/>
    <w:rsid w:val="007542E0"/>
    <w:rsid w:val="007545BF"/>
    <w:rsid w:val="00755D72"/>
    <w:rsid w:val="00760177"/>
    <w:rsid w:val="00762A58"/>
    <w:rsid w:val="0076311C"/>
    <w:rsid w:val="00763377"/>
    <w:rsid w:val="00764ADB"/>
    <w:rsid w:val="00771427"/>
    <w:rsid w:val="00772699"/>
    <w:rsid w:val="00772EB5"/>
    <w:rsid w:val="00774C7D"/>
    <w:rsid w:val="0077563C"/>
    <w:rsid w:val="00776D3F"/>
    <w:rsid w:val="0077789C"/>
    <w:rsid w:val="007801E9"/>
    <w:rsid w:val="00780576"/>
    <w:rsid w:val="0078140F"/>
    <w:rsid w:val="00781B6C"/>
    <w:rsid w:val="00782EF4"/>
    <w:rsid w:val="00787B4A"/>
    <w:rsid w:val="00791B87"/>
    <w:rsid w:val="00791CC4"/>
    <w:rsid w:val="00792166"/>
    <w:rsid w:val="0079268F"/>
    <w:rsid w:val="00793289"/>
    <w:rsid w:val="007942F0"/>
    <w:rsid w:val="00794CB1"/>
    <w:rsid w:val="00796DB4"/>
    <w:rsid w:val="007A2A87"/>
    <w:rsid w:val="007A61D4"/>
    <w:rsid w:val="007A71D9"/>
    <w:rsid w:val="007A72E2"/>
    <w:rsid w:val="007B01C4"/>
    <w:rsid w:val="007B073F"/>
    <w:rsid w:val="007B2D10"/>
    <w:rsid w:val="007B4464"/>
    <w:rsid w:val="007B4514"/>
    <w:rsid w:val="007B4AC9"/>
    <w:rsid w:val="007B5EAB"/>
    <w:rsid w:val="007B665B"/>
    <w:rsid w:val="007B685D"/>
    <w:rsid w:val="007C0C40"/>
    <w:rsid w:val="007C1AA8"/>
    <w:rsid w:val="007C5655"/>
    <w:rsid w:val="007C6652"/>
    <w:rsid w:val="007C6D07"/>
    <w:rsid w:val="007C76FD"/>
    <w:rsid w:val="007C7F91"/>
    <w:rsid w:val="007D1BC2"/>
    <w:rsid w:val="007D1CC6"/>
    <w:rsid w:val="007D211A"/>
    <w:rsid w:val="007D2DE9"/>
    <w:rsid w:val="007D3856"/>
    <w:rsid w:val="007D643A"/>
    <w:rsid w:val="007D793E"/>
    <w:rsid w:val="007D7DAD"/>
    <w:rsid w:val="007E03A4"/>
    <w:rsid w:val="007E363A"/>
    <w:rsid w:val="007E46AA"/>
    <w:rsid w:val="007E56F0"/>
    <w:rsid w:val="007E57C9"/>
    <w:rsid w:val="007E79CB"/>
    <w:rsid w:val="007F0142"/>
    <w:rsid w:val="007F05F5"/>
    <w:rsid w:val="007F1499"/>
    <w:rsid w:val="007F375D"/>
    <w:rsid w:val="007F77EB"/>
    <w:rsid w:val="008008CF"/>
    <w:rsid w:val="00801C95"/>
    <w:rsid w:val="00803522"/>
    <w:rsid w:val="00803F0C"/>
    <w:rsid w:val="00803F91"/>
    <w:rsid w:val="00806BD2"/>
    <w:rsid w:val="0080736A"/>
    <w:rsid w:val="00810AD4"/>
    <w:rsid w:val="00811962"/>
    <w:rsid w:val="008122AB"/>
    <w:rsid w:val="008130CF"/>
    <w:rsid w:val="008131DD"/>
    <w:rsid w:val="00813F53"/>
    <w:rsid w:val="00813FAD"/>
    <w:rsid w:val="008155DA"/>
    <w:rsid w:val="008226C0"/>
    <w:rsid w:val="00823909"/>
    <w:rsid w:val="008243ED"/>
    <w:rsid w:val="008247C5"/>
    <w:rsid w:val="008247E5"/>
    <w:rsid w:val="008267BB"/>
    <w:rsid w:val="00826975"/>
    <w:rsid w:val="00827FDA"/>
    <w:rsid w:val="0083272D"/>
    <w:rsid w:val="00833D92"/>
    <w:rsid w:val="00834D55"/>
    <w:rsid w:val="0083587E"/>
    <w:rsid w:val="00835C50"/>
    <w:rsid w:val="00835F9A"/>
    <w:rsid w:val="00836510"/>
    <w:rsid w:val="00840FD0"/>
    <w:rsid w:val="00841227"/>
    <w:rsid w:val="00843D6B"/>
    <w:rsid w:val="008440CC"/>
    <w:rsid w:val="00844E8D"/>
    <w:rsid w:val="00846159"/>
    <w:rsid w:val="0085023F"/>
    <w:rsid w:val="00853438"/>
    <w:rsid w:val="00857EBF"/>
    <w:rsid w:val="00860A3E"/>
    <w:rsid w:val="00862941"/>
    <w:rsid w:val="00863157"/>
    <w:rsid w:val="00866D24"/>
    <w:rsid w:val="008704B0"/>
    <w:rsid w:val="008725C2"/>
    <w:rsid w:val="0087289B"/>
    <w:rsid w:val="00872F47"/>
    <w:rsid w:val="0087374E"/>
    <w:rsid w:val="008741FE"/>
    <w:rsid w:val="008743D0"/>
    <w:rsid w:val="00875710"/>
    <w:rsid w:val="008765EC"/>
    <w:rsid w:val="00880058"/>
    <w:rsid w:val="00880227"/>
    <w:rsid w:val="008835FC"/>
    <w:rsid w:val="0088379C"/>
    <w:rsid w:val="00884582"/>
    <w:rsid w:val="008850DE"/>
    <w:rsid w:val="00885E30"/>
    <w:rsid w:val="008874AE"/>
    <w:rsid w:val="008903A1"/>
    <w:rsid w:val="008918BC"/>
    <w:rsid w:val="00892775"/>
    <w:rsid w:val="00893DEB"/>
    <w:rsid w:val="0089442B"/>
    <w:rsid w:val="00896D3A"/>
    <w:rsid w:val="008971BF"/>
    <w:rsid w:val="008A0A7C"/>
    <w:rsid w:val="008A2219"/>
    <w:rsid w:val="008A2FEC"/>
    <w:rsid w:val="008A4871"/>
    <w:rsid w:val="008A4E55"/>
    <w:rsid w:val="008A78CA"/>
    <w:rsid w:val="008B0537"/>
    <w:rsid w:val="008B0BED"/>
    <w:rsid w:val="008B1226"/>
    <w:rsid w:val="008B192B"/>
    <w:rsid w:val="008B1C5F"/>
    <w:rsid w:val="008B2803"/>
    <w:rsid w:val="008B3941"/>
    <w:rsid w:val="008B3AAD"/>
    <w:rsid w:val="008B4044"/>
    <w:rsid w:val="008B6357"/>
    <w:rsid w:val="008B6A98"/>
    <w:rsid w:val="008B6D8F"/>
    <w:rsid w:val="008B7666"/>
    <w:rsid w:val="008C14B3"/>
    <w:rsid w:val="008C1956"/>
    <w:rsid w:val="008C29E5"/>
    <w:rsid w:val="008C2ACE"/>
    <w:rsid w:val="008C3804"/>
    <w:rsid w:val="008C3B94"/>
    <w:rsid w:val="008C6B92"/>
    <w:rsid w:val="008D04B6"/>
    <w:rsid w:val="008D24A7"/>
    <w:rsid w:val="008D34F7"/>
    <w:rsid w:val="008D361E"/>
    <w:rsid w:val="008D4A42"/>
    <w:rsid w:val="008D4B06"/>
    <w:rsid w:val="008D56F4"/>
    <w:rsid w:val="008D5D04"/>
    <w:rsid w:val="008D711D"/>
    <w:rsid w:val="008E17E3"/>
    <w:rsid w:val="008E18A0"/>
    <w:rsid w:val="008E1F0B"/>
    <w:rsid w:val="008E3DED"/>
    <w:rsid w:val="008E3FB9"/>
    <w:rsid w:val="008E5B00"/>
    <w:rsid w:val="008E611B"/>
    <w:rsid w:val="008E73DE"/>
    <w:rsid w:val="008F5712"/>
    <w:rsid w:val="008F6AF2"/>
    <w:rsid w:val="0090206A"/>
    <w:rsid w:val="00902258"/>
    <w:rsid w:val="009028AA"/>
    <w:rsid w:val="0090359E"/>
    <w:rsid w:val="009047E4"/>
    <w:rsid w:val="00904E59"/>
    <w:rsid w:val="00905A27"/>
    <w:rsid w:val="00905F0F"/>
    <w:rsid w:val="00905FCA"/>
    <w:rsid w:val="00906918"/>
    <w:rsid w:val="00914662"/>
    <w:rsid w:val="0091647A"/>
    <w:rsid w:val="00917EEB"/>
    <w:rsid w:val="0092131B"/>
    <w:rsid w:val="009217A6"/>
    <w:rsid w:val="009219C4"/>
    <w:rsid w:val="0092235B"/>
    <w:rsid w:val="009228A9"/>
    <w:rsid w:val="00923488"/>
    <w:rsid w:val="00924AD4"/>
    <w:rsid w:val="00924C02"/>
    <w:rsid w:val="00924D89"/>
    <w:rsid w:val="009319BE"/>
    <w:rsid w:val="009320B1"/>
    <w:rsid w:val="009323B8"/>
    <w:rsid w:val="00936B7C"/>
    <w:rsid w:val="00937409"/>
    <w:rsid w:val="00937960"/>
    <w:rsid w:val="00937B49"/>
    <w:rsid w:val="00937C0D"/>
    <w:rsid w:val="00940A00"/>
    <w:rsid w:val="009410D3"/>
    <w:rsid w:val="00941AFF"/>
    <w:rsid w:val="00946234"/>
    <w:rsid w:val="00946A49"/>
    <w:rsid w:val="009473FD"/>
    <w:rsid w:val="00947BA2"/>
    <w:rsid w:val="00950243"/>
    <w:rsid w:val="009506A2"/>
    <w:rsid w:val="009511C0"/>
    <w:rsid w:val="00952A87"/>
    <w:rsid w:val="00953313"/>
    <w:rsid w:val="00953B4A"/>
    <w:rsid w:val="00957C68"/>
    <w:rsid w:val="00957DB3"/>
    <w:rsid w:val="0096020D"/>
    <w:rsid w:val="00960818"/>
    <w:rsid w:val="009610CF"/>
    <w:rsid w:val="009616F1"/>
    <w:rsid w:val="009617D8"/>
    <w:rsid w:val="00963175"/>
    <w:rsid w:val="00963FCA"/>
    <w:rsid w:val="00964663"/>
    <w:rsid w:val="00966BAA"/>
    <w:rsid w:val="00967FBE"/>
    <w:rsid w:val="00974EB9"/>
    <w:rsid w:val="00975F62"/>
    <w:rsid w:val="00976635"/>
    <w:rsid w:val="00976927"/>
    <w:rsid w:val="00976BDF"/>
    <w:rsid w:val="00981211"/>
    <w:rsid w:val="009815F6"/>
    <w:rsid w:val="00981B4B"/>
    <w:rsid w:val="00981F92"/>
    <w:rsid w:val="00982AF0"/>
    <w:rsid w:val="00983BDD"/>
    <w:rsid w:val="00984E6E"/>
    <w:rsid w:val="00985862"/>
    <w:rsid w:val="00986212"/>
    <w:rsid w:val="009863C5"/>
    <w:rsid w:val="00986A94"/>
    <w:rsid w:val="00987CEA"/>
    <w:rsid w:val="00992323"/>
    <w:rsid w:val="00992C7B"/>
    <w:rsid w:val="00993306"/>
    <w:rsid w:val="009935B0"/>
    <w:rsid w:val="00994B6B"/>
    <w:rsid w:val="00996ADF"/>
    <w:rsid w:val="00996B59"/>
    <w:rsid w:val="00997342"/>
    <w:rsid w:val="009A0199"/>
    <w:rsid w:val="009A104E"/>
    <w:rsid w:val="009A1929"/>
    <w:rsid w:val="009A2DC6"/>
    <w:rsid w:val="009A4355"/>
    <w:rsid w:val="009A591B"/>
    <w:rsid w:val="009B0A45"/>
    <w:rsid w:val="009B29F3"/>
    <w:rsid w:val="009B31DD"/>
    <w:rsid w:val="009B4443"/>
    <w:rsid w:val="009B533F"/>
    <w:rsid w:val="009B5B4F"/>
    <w:rsid w:val="009B5F7B"/>
    <w:rsid w:val="009B60F7"/>
    <w:rsid w:val="009B6B54"/>
    <w:rsid w:val="009B7C77"/>
    <w:rsid w:val="009C1034"/>
    <w:rsid w:val="009C438A"/>
    <w:rsid w:val="009C4E68"/>
    <w:rsid w:val="009C4FD4"/>
    <w:rsid w:val="009C5B7B"/>
    <w:rsid w:val="009D16A4"/>
    <w:rsid w:val="009D1A13"/>
    <w:rsid w:val="009D6116"/>
    <w:rsid w:val="009D6789"/>
    <w:rsid w:val="009D6C45"/>
    <w:rsid w:val="009D7819"/>
    <w:rsid w:val="009E056C"/>
    <w:rsid w:val="009E17C5"/>
    <w:rsid w:val="009E18EF"/>
    <w:rsid w:val="009E1FAE"/>
    <w:rsid w:val="009E26BF"/>
    <w:rsid w:val="009E2825"/>
    <w:rsid w:val="009E57C5"/>
    <w:rsid w:val="009E7ADA"/>
    <w:rsid w:val="009F21ED"/>
    <w:rsid w:val="009F2336"/>
    <w:rsid w:val="009F2D2A"/>
    <w:rsid w:val="009F3A0A"/>
    <w:rsid w:val="009F3FAC"/>
    <w:rsid w:val="009F4C2B"/>
    <w:rsid w:val="009F7B5F"/>
    <w:rsid w:val="00A0194A"/>
    <w:rsid w:val="00A02922"/>
    <w:rsid w:val="00A059EC"/>
    <w:rsid w:val="00A05B2A"/>
    <w:rsid w:val="00A0641B"/>
    <w:rsid w:val="00A07EBC"/>
    <w:rsid w:val="00A1096A"/>
    <w:rsid w:val="00A12337"/>
    <w:rsid w:val="00A13074"/>
    <w:rsid w:val="00A13ED1"/>
    <w:rsid w:val="00A14383"/>
    <w:rsid w:val="00A148D7"/>
    <w:rsid w:val="00A159BE"/>
    <w:rsid w:val="00A15BBB"/>
    <w:rsid w:val="00A21AFD"/>
    <w:rsid w:val="00A25868"/>
    <w:rsid w:val="00A25D53"/>
    <w:rsid w:val="00A27BD4"/>
    <w:rsid w:val="00A312B0"/>
    <w:rsid w:val="00A31426"/>
    <w:rsid w:val="00A31735"/>
    <w:rsid w:val="00A326D6"/>
    <w:rsid w:val="00A341F5"/>
    <w:rsid w:val="00A41472"/>
    <w:rsid w:val="00A451A6"/>
    <w:rsid w:val="00A45A99"/>
    <w:rsid w:val="00A468FF"/>
    <w:rsid w:val="00A502EC"/>
    <w:rsid w:val="00A508CC"/>
    <w:rsid w:val="00A51ACF"/>
    <w:rsid w:val="00A52952"/>
    <w:rsid w:val="00A53EA1"/>
    <w:rsid w:val="00A53F9D"/>
    <w:rsid w:val="00A57E88"/>
    <w:rsid w:val="00A63824"/>
    <w:rsid w:val="00A63CFC"/>
    <w:rsid w:val="00A70D14"/>
    <w:rsid w:val="00A70DB2"/>
    <w:rsid w:val="00A71EA8"/>
    <w:rsid w:val="00A741B8"/>
    <w:rsid w:val="00A743C3"/>
    <w:rsid w:val="00A75E72"/>
    <w:rsid w:val="00A75FC3"/>
    <w:rsid w:val="00A76C84"/>
    <w:rsid w:val="00A77965"/>
    <w:rsid w:val="00A85A36"/>
    <w:rsid w:val="00A900EA"/>
    <w:rsid w:val="00A90638"/>
    <w:rsid w:val="00A90AA7"/>
    <w:rsid w:val="00A911A9"/>
    <w:rsid w:val="00A91239"/>
    <w:rsid w:val="00A92D18"/>
    <w:rsid w:val="00A93D89"/>
    <w:rsid w:val="00A93E77"/>
    <w:rsid w:val="00A96A6B"/>
    <w:rsid w:val="00AA2010"/>
    <w:rsid w:val="00AA2906"/>
    <w:rsid w:val="00AA2987"/>
    <w:rsid w:val="00AA5BBB"/>
    <w:rsid w:val="00AA741A"/>
    <w:rsid w:val="00AA74B3"/>
    <w:rsid w:val="00AB0BE2"/>
    <w:rsid w:val="00AB142A"/>
    <w:rsid w:val="00AB2164"/>
    <w:rsid w:val="00AB21FE"/>
    <w:rsid w:val="00AB2D08"/>
    <w:rsid w:val="00AB3C44"/>
    <w:rsid w:val="00AB74FA"/>
    <w:rsid w:val="00AC1B6C"/>
    <w:rsid w:val="00AC1BBC"/>
    <w:rsid w:val="00AC2271"/>
    <w:rsid w:val="00AC47D9"/>
    <w:rsid w:val="00AC585D"/>
    <w:rsid w:val="00AC5DA9"/>
    <w:rsid w:val="00AC6341"/>
    <w:rsid w:val="00AC7345"/>
    <w:rsid w:val="00AD12BC"/>
    <w:rsid w:val="00AD3412"/>
    <w:rsid w:val="00AD5163"/>
    <w:rsid w:val="00AD6949"/>
    <w:rsid w:val="00AD7CF0"/>
    <w:rsid w:val="00AE4746"/>
    <w:rsid w:val="00AE4945"/>
    <w:rsid w:val="00AE64CC"/>
    <w:rsid w:val="00AE74A0"/>
    <w:rsid w:val="00AE7BE6"/>
    <w:rsid w:val="00AF0540"/>
    <w:rsid w:val="00AF1A20"/>
    <w:rsid w:val="00AF3359"/>
    <w:rsid w:val="00AF3425"/>
    <w:rsid w:val="00AF527A"/>
    <w:rsid w:val="00AF673E"/>
    <w:rsid w:val="00B03295"/>
    <w:rsid w:val="00B037BE"/>
    <w:rsid w:val="00B03D38"/>
    <w:rsid w:val="00B05AA1"/>
    <w:rsid w:val="00B07399"/>
    <w:rsid w:val="00B07936"/>
    <w:rsid w:val="00B079EC"/>
    <w:rsid w:val="00B104BC"/>
    <w:rsid w:val="00B2037C"/>
    <w:rsid w:val="00B23865"/>
    <w:rsid w:val="00B3109F"/>
    <w:rsid w:val="00B32E9A"/>
    <w:rsid w:val="00B36BF4"/>
    <w:rsid w:val="00B40C20"/>
    <w:rsid w:val="00B44A8A"/>
    <w:rsid w:val="00B46755"/>
    <w:rsid w:val="00B46B88"/>
    <w:rsid w:val="00B4708C"/>
    <w:rsid w:val="00B502E3"/>
    <w:rsid w:val="00B511D7"/>
    <w:rsid w:val="00B52831"/>
    <w:rsid w:val="00B53B4B"/>
    <w:rsid w:val="00B53C0F"/>
    <w:rsid w:val="00B60696"/>
    <w:rsid w:val="00B6106C"/>
    <w:rsid w:val="00B611CF"/>
    <w:rsid w:val="00B65E4A"/>
    <w:rsid w:val="00B663E1"/>
    <w:rsid w:val="00B702FC"/>
    <w:rsid w:val="00B71F4E"/>
    <w:rsid w:val="00B73F71"/>
    <w:rsid w:val="00B73F8A"/>
    <w:rsid w:val="00B77924"/>
    <w:rsid w:val="00B77F0D"/>
    <w:rsid w:val="00B80612"/>
    <w:rsid w:val="00B80D98"/>
    <w:rsid w:val="00B82108"/>
    <w:rsid w:val="00B827DA"/>
    <w:rsid w:val="00B836AE"/>
    <w:rsid w:val="00B8420A"/>
    <w:rsid w:val="00B84977"/>
    <w:rsid w:val="00B84FEB"/>
    <w:rsid w:val="00B85746"/>
    <w:rsid w:val="00B86125"/>
    <w:rsid w:val="00B87067"/>
    <w:rsid w:val="00B87BED"/>
    <w:rsid w:val="00B87FEA"/>
    <w:rsid w:val="00B90693"/>
    <w:rsid w:val="00B9142C"/>
    <w:rsid w:val="00B93919"/>
    <w:rsid w:val="00B94621"/>
    <w:rsid w:val="00B949E4"/>
    <w:rsid w:val="00B95230"/>
    <w:rsid w:val="00B96091"/>
    <w:rsid w:val="00B96559"/>
    <w:rsid w:val="00BA18D0"/>
    <w:rsid w:val="00BA3554"/>
    <w:rsid w:val="00BA5CE1"/>
    <w:rsid w:val="00BA61E6"/>
    <w:rsid w:val="00BA6830"/>
    <w:rsid w:val="00BA6F67"/>
    <w:rsid w:val="00BB00FB"/>
    <w:rsid w:val="00BB024D"/>
    <w:rsid w:val="00BB08E4"/>
    <w:rsid w:val="00BB1369"/>
    <w:rsid w:val="00BB30E7"/>
    <w:rsid w:val="00BB35C7"/>
    <w:rsid w:val="00BB5167"/>
    <w:rsid w:val="00BC0CE5"/>
    <w:rsid w:val="00BC3A78"/>
    <w:rsid w:val="00BC3E9A"/>
    <w:rsid w:val="00BC4F58"/>
    <w:rsid w:val="00BC7C97"/>
    <w:rsid w:val="00BD1608"/>
    <w:rsid w:val="00BD1F1C"/>
    <w:rsid w:val="00BD32F8"/>
    <w:rsid w:val="00BD33C9"/>
    <w:rsid w:val="00BD3796"/>
    <w:rsid w:val="00BD404F"/>
    <w:rsid w:val="00BD4536"/>
    <w:rsid w:val="00BD58C8"/>
    <w:rsid w:val="00BD5ECB"/>
    <w:rsid w:val="00BD6940"/>
    <w:rsid w:val="00BD6B39"/>
    <w:rsid w:val="00BD7B32"/>
    <w:rsid w:val="00BE1800"/>
    <w:rsid w:val="00BE3633"/>
    <w:rsid w:val="00BE3EB3"/>
    <w:rsid w:val="00BE60C2"/>
    <w:rsid w:val="00BE688E"/>
    <w:rsid w:val="00BE7C52"/>
    <w:rsid w:val="00BF11A5"/>
    <w:rsid w:val="00BF1C8C"/>
    <w:rsid w:val="00BF1DC2"/>
    <w:rsid w:val="00BF405E"/>
    <w:rsid w:val="00BF44EE"/>
    <w:rsid w:val="00BF5C88"/>
    <w:rsid w:val="00BF7722"/>
    <w:rsid w:val="00C003B4"/>
    <w:rsid w:val="00C0300C"/>
    <w:rsid w:val="00C0725D"/>
    <w:rsid w:val="00C078E3"/>
    <w:rsid w:val="00C114A7"/>
    <w:rsid w:val="00C15170"/>
    <w:rsid w:val="00C1637F"/>
    <w:rsid w:val="00C1678C"/>
    <w:rsid w:val="00C1722C"/>
    <w:rsid w:val="00C2124B"/>
    <w:rsid w:val="00C216A7"/>
    <w:rsid w:val="00C22EE7"/>
    <w:rsid w:val="00C2338D"/>
    <w:rsid w:val="00C244BF"/>
    <w:rsid w:val="00C2767C"/>
    <w:rsid w:val="00C27972"/>
    <w:rsid w:val="00C27FAD"/>
    <w:rsid w:val="00C301F1"/>
    <w:rsid w:val="00C31796"/>
    <w:rsid w:val="00C31D9E"/>
    <w:rsid w:val="00C32870"/>
    <w:rsid w:val="00C341E5"/>
    <w:rsid w:val="00C356C4"/>
    <w:rsid w:val="00C369CC"/>
    <w:rsid w:val="00C36BAE"/>
    <w:rsid w:val="00C37D7D"/>
    <w:rsid w:val="00C40CFD"/>
    <w:rsid w:val="00C41098"/>
    <w:rsid w:val="00C437A4"/>
    <w:rsid w:val="00C438F1"/>
    <w:rsid w:val="00C43AA4"/>
    <w:rsid w:val="00C44CBC"/>
    <w:rsid w:val="00C44FBC"/>
    <w:rsid w:val="00C4571E"/>
    <w:rsid w:val="00C45C91"/>
    <w:rsid w:val="00C4783E"/>
    <w:rsid w:val="00C52B9E"/>
    <w:rsid w:val="00C53242"/>
    <w:rsid w:val="00C53E29"/>
    <w:rsid w:val="00C54FA8"/>
    <w:rsid w:val="00C55337"/>
    <w:rsid w:val="00C55E6A"/>
    <w:rsid w:val="00C5605A"/>
    <w:rsid w:val="00C56EF5"/>
    <w:rsid w:val="00C61006"/>
    <w:rsid w:val="00C635DF"/>
    <w:rsid w:val="00C64A8D"/>
    <w:rsid w:val="00C71D36"/>
    <w:rsid w:val="00C72374"/>
    <w:rsid w:val="00C73253"/>
    <w:rsid w:val="00C732DA"/>
    <w:rsid w:val="00C74C7A"/>
    <w:rsid w:val="00C7572D"/>
    <w:rsid w:val="00C75EAC"/>
    <w:rsid w:val="00C77CDF"/>
    <w:rsid w:val="00C8063E"/>
    <w:rsid w:val="00C807C6"/>
    <w:rsid w:val="00C80BB3"/>
    <w:rsid w:val="00C814B2"/>
    <w:rsid w:val="00C818FF"/>
    <w:rsid w:val="00C834E2"/>
    <w:rsid w:val="00C849FB"/>
    <w:rsid w:val="00C84B1D"/>
    <w:rsid w:val="00C86B67"/>
    <w:rsid w:val="00C86E40"/>
    <w:rsid w:val="00C87283"/>
    <w:rsid w:val="00C87D1D"/>
    <w:rsid w:val="00C90986"/>
    <w:rsid w:val="00C91DBF"/>
    <w:rsid w:val="00C91E31"/>
    <w:rsid w:val="00C97327"/>
    <w:rsid w:val="00CA3067"/>
    <w:rsid w:val="00CA705B"/>
    <w:rsid w:val="00CB188F"/>
    <w:rsid w:val="00CB3B4F"/>
    <w:rsid w:val="00CB655D"/>
    <w:rsid w:val="00CB7ADE"/>
    <w:rsid w:val="00CB7B40"/>
    <w:rsid w:val="00CC030A"/>
    <w:rsid w:val="00CC04AB"/>
    <w:rsid w:val="00CC091C"/>
    <w:rsid w:val="00CC0C36"/>
    <w:rsid w:val="00CC38CB"/>
    <w:rsid w:val="00CC4104"/>
    <w:rsid w:val="00CC6FD3"/>
    <w:rsid w:val="00CC70EA"/>
    <w:rsid w:val="00CD084F"/>
    <w:rsid w:val="00CD1CB7"/>
    <w:rsid w:val="00CD21A1"/>
    <w:rsid w:val="00CD4027"/>
    <w:rsid w:val="00CD4132"/>
    <w:rsid w:val="00CD50AE"/>
    <w:rsid w:val="00CD7EF1"/>
    <w:rsid w:val="00CE2E29"/>
    <w:rsid w:val="00CE3191"/>
    <w:rsid w:val="00CE50AA"/>
    <w:rsid w:val="00CE7633"/>
    <w:rsid w:val="00CF1B54"/>
    <w:rsid w:val="00CF2497"/>
    <w:rsid w:val="00CF4FFE"/>
    <w:rsid w:val="00D01CDB"/>
    <w:rsid w:val="00D02652"/>
    <w:rsid w:val="00D0419D"/>
    <w:rsid w:val="00D043E5"/>
    <w:rsid w:val="00D058CC"/>
    <w:rsid w:val="00D063CC"/>
    <w:rsid w:val="00D112BF"/>
    <w:rsid w:val="00D126EC"/>
    <w:rsid w:val="00D13D46"/>
    <w:rsid w:val="00D15654"/>
    <w:rsid w:val="00D15815"/>
    <w:rsid w:val="00D15C64"/>
    <w:rsid w:val="00D1645F"/>
    <w:rsid w:val="00D172E5"/>
    <w:rsid w:val="00D20370"/>
    <w:rsid w:val="00D20AF3"/>
    <w:rsid w:val="00D20EEA"/>
    <w:rsid w:val="00D2163C"/>
    <w:rsid w:val="00D21C14"/>
    <w:rsid w:val="00D23624"/>
    <w:rsid w:val="00D23E72"/>
    <w:rsid w:val="00D25F08"/>
    <w:rsid w:val="00D2782C"/>
    <w:rsid w:val="00D304BF"/>
    <w:rsid w:val="00D31D54"/>
    <w:rsid w:val="00D31FD4"/>
    <w:rsid w:val="00D3446D"/>
    <w:rsid w:val="00D36BF6"/>
    <w:rsid w:val="00D36E27"/>
    <w:rsid w:val="00D37FC0"/>
    <w:rsid w:val="00D404C0"/>
    <w:rsid w:val="00D413DE"/>
    <w:rsid w:val="00D433F6"/>
    <w:rsid w:val="00D47240"/>
    <w:rsid w:val="00D51DD4"/>
    <w:rsid w:val="00D5226A"/>
    <w:rsid w:val="00D5306B"/>
    <w:rsid w:val="00D55B38"/>
    <w:rsid w:val="00D55D8E"/>
    <w:rsid w:val="00D5711D"/>
    <w:rsid w:val="00D57443"/>
    <w:rsid w:val="00D57E2B"/>
    <w:rsid w:val="00D60716"/>
    <w:rsid w:val="00D60E76"/>
    <w:rsid w:val="00D63087"/>
    <w:rsid w:val="00D630A6"/>
    <w:rsid w:val="00D66666"/>
    <w:rsid w:val="00D70696"/>
    <w:rsid w:val="00D71CF7"/>
    <w:rsid w:val="00D72114"/>
    <w:rsid w:val="00D72172"/>
    <w:rsid w:val="00D72D42"/>
    <w:rsid w:val="00D751F1"/>
    <w:rsid w:val="00D76B85"/>
    <w:rsid w:val="00D76C34"/>
    <w:rsid w:val="00D776B4"/>
    <w:rsid w:val="00D77737"/>
    <w:rsid w:val="00D80483"/>
    <w:rsid w:val="00D81D83"/>
    <w:rsid w:val="00D834E8"/>
    <w:rsid w:val="00D848A5"/>
    <w:rsid w:val="00D857A4"/>
    <w:rsid w:val="00D87330"/>
    <w:rsid w:val="00D8779A"/>
    <w:rsid w:val="00D918CA"/>
    <w:rsid w:val="00D91E14"/>
    <w:rsid w:val="00D962B4"/>
    <w:rsid w:val="00D97D62"/>
    <w:rsid w:val="00DA06D2"/>
    <w:rsid w:val="00DA0798"/>
    <w:rsid w:val="00DA1D81"/>
    <w:rsid w:val="00DA2782"/>
    <w:rsid w:val="00DA445E"/>
    <w:rsid w:val="00DA457B"/>
    <w:rsid w:val="00DB0B27"/>
    <w:rsid w:val="00DB10D1"/>
    <w:rsid w:val="00DB1C1A"/>
    <w:rsid w:val="00DB23E0"/>
    <w:rsid w:val="00DB4A59"/>
    <w:rsid w:val="00DB659A"/>
    <w:rsid w:val="00DC0BB6"/>
    <w:rsid w:val="00DC1AD2"/>
    <w:rsid w:val="00DC2007"/>
    <w:rsid w:val="00DC205E"/>
    <w:rsid w:val="00DC2334"/>
    <w:rsid w:val="00DC5C1E"/>
    <w:rsid w:val="00DD028E"/>
    <w:rsid w:val="00DD0D7A"/>
    <w:rsid w:val="00DD1A8C"/>
    <w:rsid w:val="00DD2D66"/>
    <w:rsid w:val="00DD2DC7"/>
    <w:rsid w:val="00DD44F9"/>
    <w:rsid w:val="00DD4827"/>
    <w:rsid w:val="00DD49A7"/>
    <w:rsid w:val="00DD506F"/>
    <w:rsid w:val="00DD69A8"/>
    <w:rsid w:val="00DD7A05"/>
    <w:rsid w:val="00DE1F27"/>
    <w:rsid w:val="00DE2602"/>
    <w:rsid w:val="00DE3D1A"/>
    <w:rsid w:val="00DF17FE"/>
    <w:rsid w:val="00DF2D38"/>
    <w:rsid w:val="00DF310D"/>
    <w:rsid w:val="00DF4BC2"/>
    <w:rsid w:val="00DF6C49"/>
    <w:rsid w:val="00DF7824"/>
    <w:rsid w:val="00E01E2F"/>
    <w:rsid w:val="00E0363B"/>
    <w:rsid w:val="00E043D6"/>
    <w:rsid w:val="00E04597"/>
    <w:rsid w:val="00E045F9"/>
    <w:rsid w:val="00E05544"/>
    <w:rsid w:val="00E0603B"/>
    <w:rsid w:val="00E070A2"/>
    <w:rsid w:val="00E079E0"/>
    <w:rsid w:val="00E07D0F"/>
    <w:rsid w:val="00E11B0E"/>
    <w:rsid w:val="00E13A13"/>
    <w:rsid w:val="00E15DFC"/>
    <w:rsid w:val="00E177E4"/>
    <w:rsid w:val="00E17DE9"/>
    <w:rsid w:val="00E213AE"/>
    <w:rsid w:val="00E21BD5"/>
    <w:rsid w:val="00E25527"/>
    <w:rsid w:val="00E26481"/>
    <w:rsid w:val="00E2653A"/>
    <w:rsid w:val="00E27926"/>
    <w:rsid w:val="00E27F26"/>
    <w:rsid w:val="00E311A9"/>
    <w:rsid w:val="00E31C4F"/>
    <w:rsid w:val="00E32A4E"/>
    <w:rsid w:val="00E32B9C"/>
    <w:rsid w:val="00E3368B"/>
    <w:rsid w:val="00E33B15"/>
    <w:rsid w:val="00E361BF"/>
    <w:rsid w:val="00E36692"/>
    <w:rsid w:val="00E37861"/>
    <w:rsid w:val="00E400D7"/>
    <w:rsid w:val="00E40C6C"/>
    <w:rsid w:val="00E4128B"/>
    <w:rsid w:val="00E42E36"/>
    <w:rsid w:val="00E443A2"/>
    <w:rsid w:val="00E452C7"/>
    <w:rsid w:val="00E470DB"/>
    <w:rsid w:val="00E47D77"/>
    <w:rsid w:val="00E5000E"/>
    <w:rsid w:val="00E50ED1"/>
    <w:rsid w:val="00E51D58"/>
    <w:rsid w:val="00E520CB"/>
    <w:rsid w:val="00E52B63"/>
    <w:rsid w:val="00E52D4E"/>
    <w:rsid w:val="00E5584D"/>
    <w:rsid w:val="00E56184"/>
    <w:rsid w:val="00E63220"/>
    <w:rsid w:val="00E66670"/>
    <w:rsid w:val="00E66E92"/>
    <w:rsid w:val="00E7077B"/>
    <w:rsid w:val="00E70B44"/>
    <w:rsid w:val="00E720D1"/>
    <w:rsid w:val="00E72BD4"/>
    <w:rsid w:val="00E72EEA"/>
    <w:rsid w:val="00E76AB2"/>
    <w:rsid w:val="00E7733D"/>
    <w:rsid w:val="00E806C7"/>
    <w:rsid w:val="00E80867"/>
    <w:rsid w:val="00E8190E"/>
    <w:rsid w:val="00E831BD"/>
    <w:rsid w:val="00E864A8"/>
    <w:rsid w:val="00E91200"/>
    <w:rsid w:val="00E91263"/>
    <w:rsid w:val="00E91FBE"/>
    <w:rsid w:val="00E927E3"/>
    <w:rsid w:val="00E937B6"/>
    <w:rsid w:val="00E9429A"/>
    <w:rsid w:val="00E94DAF"/>
    <w:rsid w:val="00E94EBF"/>
    <w:rsid w:val="00E9502B"/>
    <w:rsid w:val="00E9543F"/>
    <w:rsid w:val="00E95B85"/>
    <w:rsid w:val="00E96E0B"/>
    <w:rsid w:val="00EA12E1"/>
    <w:rsid w:val="00EA413C"/>
    <w:rsid w:val="00EA738E"/>
    <w:rsid w:val="00EB0B1C"/>
    <w:rsid w:val="00EB1596"/>
    <w:rsid w:val="00EB37B5"/>
    <w:rsid w:val="00EB3D31"/>
    <w:rsid w:val="00EB4775"/>
    <w:rsid w:val="00EB6524"/>
    <w:rsid w:val="00EC091D"/>
    <w:rsid w:val="00EC0B3D"/>
    <w:rsid w:val="00EC0C86"/>
    <w:rsid w:val="00EC0CA1"/>
    <w:rsid w:val="00EC0D03"/>
    <w:rsid w:val="00EC0ECD"/>
    <w:rsid w:val="00EC4E61"/>
    <w:rsid w:val="00EC5339"/>
    <w:rsid w:val="00EC5E36"/>
    <w:rsid w:val="00ED3659"/>
    <w:rsid w:val="00ED4300"/>
    <w:rsid w:val="00ED68D4"/>
    <w:rsid w:val="00EE0574"/>
    <w:rsid w:val="00EE2610"/>
    <w:rsid w:val="00EE5B20"/>
    <w:rsid w:val="00EE5CAF"/>
    <w:rsid w:val="00EE69E6"/>
    <w:rsid w:val="00EE79BF"/>
    <w:rsid w:val="00EE7A71"/>
    <w:rsid w:val="00EF364D"/>
    <w:rsid w:val="00EF44AF"/>
    <w:rsid w:val="00EF7D84"/>
    <w:rsid w:val="00F0111F"/>
    <w:rsid w:val="00F01A6E"/>
    <w:rsid w:val="00F0225A"/>
    <w:rsid w:val="00F0231C"/>
    <w:rsid w:val="00F02371"/>
    <w:rsid w:val="00F03C9E"/>
    <w:rsid w:val="00F042A9"/>
    <w:rsid w:val="00F067A9"/>
    <w:rsid w:val="00F07134"/>
    <w:rsid w:val="00F074E1"/>
    <w:rsid w:val="00F07DF2"/>
    <w:rsid w:val="00F13C70"/>
    <w:rsid w:val="00F144E6"/>
    <w:rsid w:val="00F14DD3"/>
    <w:rsid w:val="00F21952"/>
    <w:rsid w:val="00F237BC"/>
    <w:rsid w:val="00F23C86"/>
    <w:rsid w:val="00F23EAE"/>
    <w:rsid w:val="00F25764"/>
    <w:rsid w:val="00F25796"/>
    <w:rsid w:val="00F25A62"/>
    <w:rsid w:val="00F2633C"/>
    <w:rsid w:val="00F26909"/>
    <w:rsid w:val="00F30B99"/>
    <w:rsid w:val="00F3271D"/>
    <w:rsid w:val="00F32F76"/>
    <w:rsid w:val="00F33C38"/>
    <w:rsid w:val="00F35E07"/>
    <w:rsid w:val="00F35F82"/>
    <w:rsid w:val="00F401C4"/>
    <w:rsid w:val="00F40E0F"/>
    <w:rsid w:val="00F4461E"/>
    <w:rsid w:val="00F457CB"/>
    <w:rsid w:val="00F50709"/>
    <w:rsid w:val="00F51CA3"/>
    <w:rsid w:val="00F525E5"/>
    <w:rsid w:val="00F52E5E"/>
    <w:rsid w:val="00F5414C"/>
    <w:rsid w:val="00F54766"/>
    <w:rsid w:val="00F54B7F"/>
    <w:rsid w:val="00F56748"/>
    <w:rsid w:val="00F6027A"/>
    <w:rsid w:val="00F619FA"/>
    <w:rsid w:val="00F6343A"/>
    <w:rsid w:val="00F63E0A"/>
    <w:rsid w:val="00F6511D"/>
    <w:rsid w:val="00F6703C"/>
    <w:rsid w:val="00F67397"/>
    <w:rsid w:val="00F72A87"/>
    <w:rsid w:val="00F7343E"/>
    <w:rsid w:val="00F76620"/>
    <w:rsid w:val="00F775BB"/>
    <w:rsid w:val="00F8093F"/>
    <w:rsid w:val="00F82958"/>
    <w:rsid w:val="00F82ED0"/>
    <w:rsid w:val="00F83B37"/>
    <w:rsid w:val="00F83DFC"/>
    <w:rsid w:val="00F84296"/>
    <w:rsid w:val="00F86C3C"/>
    <w:rsid w:val="00F86FE4"/>
    <w:rsid w:val="00F871EB"/>
    <w:rsid w:val="00F936DB"/>
    <w:rsid w:val="00F93E01"/>
    <w:rsid w:val="00F94839"/>
    <w:rsid w:val="00F95BA5"/>
    <w:rsid w:val="00F96307"/>
    <w:rsid w:val="00F96CAA"/>
    <w:rsid w:val="00FA07A9"/>
    <w:rsid w:val="00FA0F24"/>
    <w:rsid w:val="00FA3E0D"/>
    <w:rsid w:val="00FA630C"/>
    <w:rsid w:val="00FB14EC"/>
    <w:rsid w:val="00FB24D7"/>
    <w:rsid w:val="00FB2C80"/>
    <w:rsid w:val="00FB5399"/>
    <w:rsid w:val="00FB5558"/>
    <w:rsid w:val="00FC19BB"/>
    <w:rsid w:val="00FC2EF5"/>
    <w:rsid w:val="00FC7B48"/>
    <w:rsid w:val="00FD090A"/>
    <w:rsid w:val="00FD0E75"/>
    <w:rsid w:val="00FD1AF6"/>
    <w:rsid w:val="00FD2221"/>
    <w:rsid w:val="00FD2827"/>
    <w:rsid w:val="00FD3860"/>
    <w:rsid w:val="00FD43E9"/>
    <w:rsid w:val="00FD43F9"/>
    <w:rsid w:val="00FD4782"/>
    <w:rsid w:val="00FD6815"/>
    <w:rsid w:val="00FE0D62"/>
    <w:rsid w:val="00FE11D5"/>
    <w:rsid w:val="00FE3451"/>
    <w:rsid w:val="00FE36CE"/>
    <w:rsid w:val="00FE6884"/>
    <w:rsid w:val="00FF1513"/>
    <w:rsid w:val="00FF610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BFAAF72-EB30-4D4A-8C49-1B6389F49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209"/>
  </w:style>
  <w:style w:type="paragraph" w:styleId="Cabealho1">
    <w:name w:val="heading 1"/>
    <w:basedOn w:val="Normal"/>
    <w:next w:val="Normal"/>
    <w:link w:val="Cabealho1Carter"/>
    <w:uiPriority w:val="9"/>
    <w:qFormat/>
    <w:rsid w:val="00014209"/>
    <w:pPr>
      <w:spacing w:before="480" w:after="0"/>
      <w:contextualSpacing/>
      <w:outlineLvl w:val="0"/>
    </w:pPr>
    <w:rPr>
      <w:rFonts w:asciiTheme="majorHAnsi" w:eastAsiaTheme="majorEastAsia" w:hAnsiTheme="majorHAnsi" w:cstheme="majorBidi"/>
      <w:b/>
      <w:bCs/>
      <w:sz w:val="28"/>
      <w:szCs w:val="28"/>
    </w:rPr>
  </w:style>
  <w:style w:type="paragraph" w:styleId="Cabealho2">
    <w:name w:val="heading 2"/>
    <w:basedOn w:val="Normal"/>
    <w:next w:val="Normal"/>
    <w:link w:val="Cabealho2Carter"/>
    <w:uiPriority w:val="9"/>
    <w:unhideWhenUsed/>
    <w:qFormat/>
    <w:rsid w:val="00014209"/>
    <w:pPr>
      <w:spacing w:before="200" w:after="0"/>
      <w:outlineLvl w:val="1"/>
    </w:pPr>
    <w:rPr>
      <w:rFonts w:asciiTheme="majorHAnsi" w:eastAsiaTheme="majorEastAsia" w:hAnsiTheme="majorHAnsi" w:cstheme="majorBidi"/>
      <w:b/>
      <w:bCs/>
      <w:sz w:val="26"/>
      <w:szCs w:val="26"/>
    </w:rPr>
  </w:style>
  <w:style w:type="paragraph" w:styleId="Cabealho3">
    <w:name w:val="heading 3"/>
    <w:basedOn w:val="Normal"/>
    <w:next w:val="Normal"/>
    <w:link w:val="Cabealho3Carter"/>
    <w:uiPriority w:val="9"/>
    <w:unhideWhenUsed/>
    <w:qFormat/>
    <w:rsid w:val="00014209"/>
    <w:pPr>
      <w:spacing w:before="200" w:after="0" w:line="271" w:lineRule="auto"/>
      <w:outlineLvl w:val="2"/>
    </w:pPr>
    <w:rPr>
      <w:rFonts w:asciiTheme="majorHAnsi" w:eastAsiaTheme="majorEastAsia" w:hAnsiTheme="majorHAnsi" w:cstheme="majorBidi"/>
      <w:b/>
      <w:bCs/>
    </w:rPr>
  </w:style>
  <w:style w:type="paragraph" w:styleId="Cabealho4">
    <w:name w:val="heading 4"/>
    <w:basedOn w:val="Normal"/>
    <w:next w:val="Normal"/>
    <w:link w:val="Cabealho4Carter"/>
    <w:uiPriority w:val="9"/>
    <w:unhideWhenUsed/>
    <w:qFormat/>
    <w:rsid w:val="00014209"/>
    <w:pPr>
      <w:spacing w:before="200" w:after="0"/>
      <w:outlineLvl w:val="3"/>
    </w:pPr>
    <w:rPr>
      <w:rFonts w:asciiTheme="majorHAnsi" w:eastAsiaTheme="majorEastAsia" w:hAnsiTheme="majorHAnsi" w:cstheme="majorBidi"/>
      <w:b/>
      <w:bCs/>
      <w:i/>
      <w:iCs/>
    </w:rPr>
  </w:style>
  <w:style w:type="paragraph" w:styleId="Cabealho5">
    <w:name w:val="heading 5"/>
    <w:basedOn w:val="Normal"/>
    <w:next w:val="Normal"/>
    <w:link w:val="Cabealho5Carter"/>
    <w:uiPriority w:val="9"/>
    <w:semiHidden/>
    <w:unhideWhenUsed/>
    <w:qFormat/>
    <w:rsid w:val="00014209"/>
    <w:pPr>
      <w:spacing w:before="200" w:after="0"/>
      <w:outlineLvl w:val="4"/>
    </w:pPr>
    <w:rPr>
      <w:rFonts w:asciiTheme="majorHAnsi" w:eastAsiaTheme="majorEastAsia" w:hAnsiTheme="majorHAnsi" w:cstheme="majorBidi"/>
      <w:b/>
      <w:bCs/>
      <w:color w:val="7F7F7F" w:themeColor="text1" w:themeTint="80"/>
    </w:rPr>
  </w:style>
  <w:style w:type="paragraph" w:styleId="Cabealho6">
    <w:name w:val="heading 6"/>
    <w:basedOn w:val="Normal"/>
    <w:next w:val="Normal"/>
    <w:link w:val="Cabealho6Carter"/>
    <w:uiPriority w:val="9"/>
    <w:semiHidden/>
    <w:unhideWhenUsed/>
    <w:qFormat/>
    <w:rsid w:val="00014209"/>
    <w:pPr>
      <w:spacing w:after="0" w:line="271" w:lineRule="auto"/>
      <w:outlineLvl w:val="5"/>
    </w:pPr>
    <w:rPr>
      <w:rFonts w:asciiTheme="majorHAnsi" w:eastAsiaTheme="majorEastAsia" w:hAnsiTheme="majorHAnsi" w:cstheme="majorBidi"/>
      <w:b/>
      <w:bCs/>
      <w:i/>
      <w:iCs/>
      <w:color w:val="7F7F7F" w:themeColor="text1" w:themeTint="80"/>
    </w:rPr>
  </w:style>
  <w:style w:type="paragraph" w:styleId="Cabealho7">
    <w:name w:val="heading 7"/>
    <w:basedOn w:val="Normal"/>
    <w:next w:val="Normal"/>
    <w:link w:val="Cabealho7Carter"/>
    <w:uiPriority w:val="9"/>
    <w:semiHidden/>
    <w:unhideWhenUsed/>
    <w:qFormat/>
    <w:rsid w:val="00014209"/>
    <w:pPr>
      <w:spacing w:after="0"/>
      <w:outlineLvl w:val="6"/>
    </w:pPr>
    <w:rPr>
      <w:rFonts w:asciiTheme="majorHAnsi" w:eastAsiaTheme="majorEastAsia" w:hAnsiTheme="majorHAnsi" w:cstheme="majorBidi"/>
      <w:i/>
      <w:iCs/>
    </w:rPr>
  </w:style>
  <w:style w:type="paragraph" w:styleId="Cabealho8">
    <w:name w:val="heading 8"/>
    <w:basedOn w:val="Normal"/>
    <w:next w:val="Normal"/>
    <w:link w:val="Cabealho8Carter"/>
    <w:uiPriority w:val="9"/>
    <w:semiHidden/>
    <w:unhideWhenUsed/>
    <w:qFormat/>
    <w:rsid w:val="00014209"/>
    <w:pPr>
      <w:spacing w:after="0"/>
      <w:outlineLvl w:val="7"/>
    </w:pPr>
    <w:rPr>
      <w:rFonts w:asciiTheme="majorHAnsi" w:eastAsiaTheme="majorEastAsia" w:hAnsiTheme="majorHAnsi" w:cstheme="majorBidi"/>
      <w:sz w:val="20"/>
      <w:szCs w:val="20"/>
    </w:rPr>
  </w:style>
  <w:style w:type="paragraph" w:styleId="Cabealho9">
    <w:name w:val="heading 9"/>
    <w:basedOn w:val="Normal"/>
    <w:next w:val="Normal"/>
    <w:link w:val="Cabealho9Carter"/>
    <w:uiPriority w:val="9"/>
    <w:semiHidden/>
    <w:unhideWhenUsed/>
    <w:qFormat/>
    <w:rsid w:val="00014209"/>
    <w:pPr>
      <w:spacing w:after="0"/>
      <w:outlineLvl w:val="8"/>
    </w:pPr>
    <w:rPr>
      <w:rFonts w:asciiTheme="majorHAnsi" w:eastAsiaTheme="majorEastAsia" w:hAnsiTheme="majorHAnsi" w:cstheme="majorBidi"/>
      <w:i/>
      <w:iCs/>
      <w:spacing w:val="5"/>
      <w:sz w:val="20"/>
      <w:szCs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ter">
    <w:name w:val="Cabeçalho 1 Caráter"/>
    <w:basedOn w:val="Tipodeletrapredefinidodopargrafo"/>
    <w:link w:val="Cabealho1"/>
    <w:uiPriority w:val="9"/>
    <w:rsid w:val="00014209"/>
    <w:rPr>
      <w:rFonts w:asciiTheme="majorHAnsi" w:eastAsiaTheme="majorEastAsia" w:hAnsiTheme="majorHAnsi" w:cstheme="majorBidi"/>
      <w:b/>
      <w:bCs/>
      <w:sz w:val="28"/>
      <w:szCs w:val="28"/>
    </w:rPr>
  </w:style>
  <w:style w:type="paragraph" w:styleId="PargrafodaLista">
    <w:name w:val="List Paragraph"/>
    <w:basedOn w:val="Normal"/>
    <w:uiPriority w:val="34"/>
    <w:qFormat/>
    <w:rsid w:val="00014209"/>
    <w:pPr>
      <w:ind w:left="720"/>
      <w:contextualSpacing/>
    </w:pPr>
  </w:style>
  <w:style w:type="paragraph" w:styleId="Rodap">
    <w:name w:val="footer"/>
    <w:basedOn w:val="Normal"/>
    <w:link w:val="RodapCarter"/>
    <w:uiPriority w:val="99"/>
    <w:unhideWhenUsed/>
    <w:rsid w:val="00471855"/>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471855"/>
  </w:style>
  <w:style w:type="paragraph" w:styleId="Cabealho">
    <w:name w:val="header"/>
    <w:basedOn w:val="Normal"/>
    <w:link w:val="CabealhoCarter"/>
    <w:uiPriority w:val="99"/>
    <w:unhideWhenUsed/>
    <w:rsid w:val="00471855"/>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471855"/>
  </w:style>
  <w:style w:type="paragraph" w:styleId="Textodebalo">
    <w:name w:val="Balloon Text"/>
    <w:basedOn w:val="Normal"/>
    <w:link w:val="TextodebaloCarter"/>
    <w:uiPriority w:val="99"/>
    <w:semiHidden/>
    <w:unhideWhenUsed/>
    <w:rsid w:val="0031334C"/>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31334C"/>
    <w:rPr>
      <w:rFonts w:ascii="Tahoma" w:hAnsi="Tahoma" w:cs="Tahoma"/>
      <w:sz w:val="16"/>
      <w:szCs w:val="16"/>
    </w:rPr>
  </w:style>
  <w:style w:type="paragraph" w:styleId="Bibliografia">
    <w:name w:val="Bibliography"/>
    <w:basedOn w:val="Normal"/>
    <w:next w:val="Normal"/>
    <w:uiPriority w:val="37"/>
    <w:unhideWhenUsed/>
    <w:rsid w:val="00A741B8"/>
  </w:style>
  <w:style w:type="paragraph" w:customStyle="1" w:styleId="Default">
    <w:name w:val="Default"/>
    <w:rsid w:val="00E361BF"/>
    <w:pPr>
      <w:autoSpaceDE w:val="0"/>
      <w:autoSpaceDN w:val="0"/>
      <w:adjustRightInd w:val="0"/>
      <w:spacing w:after="0" w:line="240" w:lineRule="auto"/>
    </w:pPr>
    <w:rPr>
      <w:rFonts w:ascii="Times New Roman" w:hAnsi="Times New Roman" w:cs="Times New Roman"/>
      <w:color w:val="000000"/>
      <w:sz w:val="24"/>
      <w:szCs w:val="24"/>
    </w:rPr>
  </w:style>
  <w:style w:type="paragraph" w:styleId="Textodenotaderodap">
    <w:name w:val="footnote text"/>
    <w:basedOn w:val="Normal"/>
    <w:link w:val="TextodenotaderodapCarter"/>
    <w:uiPriority w:val="99"/>
    <w:semiHidden/>
    <w:unhideWhenUsed/>
    <w:rsid w:val="002E698C"/>
    <w:pPr>
      <w:spacing w:after="0" w:line="240" w:lineRule="auto"/>
    </w:pPr>
    <w:rPr>
      <w:sz w:val="20"/>
      <w:szCs w:val="20"/>
    </w:rPr>
  </w:style>
  <w:style w:type="character" w:customStyle="1" w:styleId="TextodenotaderodapCarter">
    <w:name w:val="Texto de nota de rodapé Caráter"/>
    <w:basedOn w:val="Tipodeletrapredefinidodopargrafo"/>
    <w:link w:val="Textodenotaderodap"/>
    <w:uiPriority w:val="99"/>
    <w:semiHidden/>
    <w:rsid w:val="002E698C"/>
    <w:rPr>
      <w:sz w:val="20"/>
      <w:szCs w:val="20"/>
    </w:rPr>
  </w:style>
  <w:style w:type="character" w:styleId="Refdenotaderodap">
    <w:name w:val="footnote reference"/>
    <w:basedOn w:val="Tipodeletrapredefinidodopargrafo"/>
    <w:uiPriority w:val="99"/>
    <w:semiHidden/>
    <w:unhideWhenUsed/>
    <w:rsid w:val="002E698C"/>
    <w:rPr>
      <w:vertAlign w:val="superscript"/>
    </w:rPr>
  </w:style>
  <w:style w:type="character" w:customStyle="1" w:styleId="Cabealho2Carter">
    <w:name w:val="Cabeçalho 2 Caráter"/>
    <w:basedOn w:val="Tipodeletrapredefinidodopargrafo"/>
    <w:link w:val="Cabealho2"/>
    <w:uiPriority w:val="9"/>
    <w:rsid w:val="00014209"/>
    <w:rPr>
      <w:rFonts w:asciiTheme="majorHAnsi" w:eastAsiaTheme="majorEastAsia" w:hAnsiTheme="majorHAnsi" w:cstheme="majorBidi"/>
      <w:b/>
      <w:bCs/>
      <w:sz w:val="26"/>
      <w:szCs w:val="26"/>
    </w:rPr>
  </w:style>
  <w:style w:type="character" w:customStyle="1" w:styleId="Cabealho3Carter">
    <w:name w:val="Cabeçalho 3 Caráter"/>
    <w:basedOn w:val="Tipodeletrapredefinidodopargrafo"/>
    <w:link w:val="Cabealho3"/>
    <w:uiPriority w:val="9"/>
    <w:rsid w:val="00014209"/>
    <w:rPr>
      <w:rFonts w:asciiTheme="majorHAnsi" w:eastAsiaTheme="majorEastAsia" w:hAnsiTheme="majorHAnsi" w:cstheme="majorBidi"/>
      <w:b/>
      <w:bCs/>
    </w:rPr>
  </w:style>
  <w:style w:type="paragraph" w:styleId="Cabealhodondice">
    <w:name w:val="TOC Heading"/>
    <w:basedOn w:val="Cabealho1"/>
    <w:next w:val="Normal"/>
    <w:uiPriority w:val="39"/>
    <w:semiHidden/>
    <w:unhideWhenUsed/>
    <w:qFormat/>
    <w:rsid w:val="00014209"/>
    <w:pPr>
      <w:outlineLvl w:val="9"/>
    </w:pPr>
    <w:rPr>
      <w:lang w:bidi="en-US"/>
    </w:rPr>
  </w:style>
  <w:style w:type="paragraph" w:styleId="ndice1">
    <w:name w:val="toc 1"/>
    <w:basedOn w:val="Normal"/>
    <w:next w:val="Normal"/>
    <w:autoRedefine/>
    <w:uiPriority w:val="39"/>
    <w:unhideWhenUsed/>
    <w:rsid w:val="006C3778"/>
    <w:pPr>
      <w:tabs>
        <w:tab w:val="right" w:leader="dot" w:pos="8777"/>
      </w:tabs>
      <w:spacing w:after="120" w:line="360" w:lineRule="auto"/>
    </w:pPr>
    <w:rPr>
      <w:b/>
      <w:noProof/>
    </w:rPr>
  </w:style>
  <w:style w:type="paragraph" w:styleId="ndice2">
    <w:name w:val="toc 2"/>
    <w:basedOn w:val="Normal"/>
    <w:next w:val="Normal"/>
    <w:autoRedefine/>
    <w:uiPriority w:val="39"/>
    <w:unhideWhenUsed/>
    <w:rsid w:val="00D51DD4"/>
    <w:pPr>
      <w:spacing w:after="100"/>
      <w:ind w:left="220"/>
    </w:pPr>
  </w:style>
  <w:style w:type="paragraph" w:styleId="ndice3">
    <w:name w:val="toc 3"/>
    <w:basedOn w:val="Normal"/>
    <w:next w:val="Normal"/>
    <w:autoRedefine/>
    <w:uiPriority w:val="39"/>
    <w:unhideWhenUsed/>
    <w:rsid w:val="00D51DD4"/>
    <w:pPr>
      <w:spacing w:after="100"/>
      <w:ind w:left="440"/>
    </w:pPr>
  </w:style>
  <w:style w:type="character" w:styleId="Hiperligao">
    <w:name w:val="Hyperlink"/>
    <w:basedOn w:val="Tipodeletrapredefinidodopargrafo"/>
    <w:uiPriority w:val="99"/>
    <w:unhideWhenUsed/>
    <w:rsid w:val="00D51DD4"/>
    <w:rPr>
      <w:color w:val="0000FF" w:themeColor="hyperlink"/>
      <w:u w:val="single"/>
    </w:rPr>
  </w:style>
  <w:style w:type="character" w:customStyle="1" w:styleId="Cabealho4Carter">
    <w:name w:val="Cabeçalho 4 Caráter"/>
    <w:basedOn w:val="Tipodeletrapredefinidodopargrafo"/>
    <w:link w:val="Cabealho4"/>
    <w:uiPriority w:val="9"/>
    <w:rsid w:val="00014209"/>
    <w:rPr>
      <w:rFonts w:asciiTheme="majorHAnsi" w:eastAsiaTheme="majorEastAsia" w:hAnsiTheme="majorHAnsi" w:cstheme="majorBidi"/>
      <w:b/>
      <w:bCs/>
      <w:i/>
      <w:iCs/>
    </w:rPr>
  </w:style>
  <w:style w:type="paragraph" w:styleId="Ttulo">
    <w:name w:val="Title"/>
    <w:basedOn w:val="Normal"/>
    <w:next w:val="Normal"/>
    <w:link w:val="TtuloCarter"/>
    <w:uiPriority w:val="10"/>
    <w:qFormat/>
    <w:rsid w:val="00014209"/>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tuloCarter">
    <w:name w:val="Título Caráter"/>
    <w:basedOn w:val="Tipodeletrapredefinidodopargrafo"/>
    <w:link w:val="Ttulo"/>
    <w:uiPriority w:val="10"/>
    <w:rsid w:val="00014209"/>
    <w:rPr>
      <w:rFonts w:asciiTheme="majorHAnsi" w:eastAsiaTheme="majorEastAsia" w:hAnsiTheme="majorHAnsi" w:cstheme="majorBidi"/>
      <w:spacing w:val="5"/>
      <w:sz w:val="52"/>
      <w:szCs w:val="52"/>
    </w:rPr>
  </w:style>
  <w:style w:type="paragraph" w:styleId="Subttulo">
    <w:name w:val="Subtitle"/>
    <w:basedOn w:val="Normal"/>
    <w:next w:val="Normal"/>
    <w:link w:val="SubttuloCarter"/>
    <w:uiPriority w:val="11"/>
    <w:qFormat/>
    <w:rsid w:val="00014209"/>
    <w:pPr>
      <w:spacing w:after="600"/>
    </w:pPr>
    <w:rPr>
      <w:rFonts w:asciiTheme="majorHAnsi" w:eastAsiaTheme="majorEastAsia" w:hAnsiTheme="majorHAnsi" w:cstheme="majorBidi"/>
      <w:i/>
      <w:iCs/>
      <w:spacing w:val="13"/>
      <w:sz w:val="24"/>
      <w:szCs w:val="24"/>
    </w:rPr>
  </w:style>
  <w:style w:type="character" w:customStyle="1" w:styleId="SubttuloCarter">
    <w:name w:val="Subtítulo Caráter"/>
    <w:basedOn w:val="Tipodeletrapredefinidodopargrafo"/>
    <w:link w:val="Subttulo"/>
    <w:uiPriority w:val="11"/>
    <w:rsid w:val="00014209"/>
    <w:rPr>
      <w:rFonts w:asciiTheme="majorHAnsi" w:eastAsiaTheme="majorEastAsia" w:hAnsiTheme="majorHAnsi" w:cstheme="majorBidi"/>
      <w:i/>
      <w:iCs/>
      <w:spacing w:val="13"/>
      <w:sz w:val="24"/>
      <w:szCs w:val="24"/>
    </w:rPr>
  </w:style>
  <w:style w:type="paragraph" w:styleId="SemEspaamento">
    <w:name w:val="No Spacing"/>
    <w:basedOn w:val="Normal"/>
    <w:uiPriority w:val="1"/>
    <w:qFormat/>
    <w:rsid w:val="00014209"/>
    <w:pPr>
      <w:spacing w:after="0" w:line="240" w:lineRule="auto"/>
    </w:pPr>
  </w:style>
  <w:style w:type="paragraph" w:styleId="ndice4">
    <w:name w:val="toc 4"/>
    <w:basedOn w:val="Normal"/>
    <w:next w:val="Normal"/>
    <w:autoRedefine/>
    <w:uiPriority w:val="39"/>
    <w:unhideWhenUsed/>
    <w:rsid w:val="00F50709"/>
    <w:pPr>
      <w:spacing w:after="100"/>
      <w:ind w:left="660"/>
    </w:pPr>
  </w:style>
  <w:style w:type="table" w:styleId="Tabelacomgrelha">
    <w:name w:val="Table Grid"/>
    <w:basedOn w:val="Tabelanormal"/>
    <w:uiPriority w:val="59"/>
    <w:rsid w:val="000119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0F5650"/>
    <w:pPr>
      <w:spacing w:before="100" w:beforeAutospacing="1" w:after="100" w:afterAutospacing="1" w:line="240" w:lineRule="auto"/>
    </w:pPr>
    <w:rPr>
      <w:rFonts w:ascii="Times New Roman" w:hAnsi="Times New Roman" w:cs="Times New Roman"/>
      <w:sz w:val="24"/>
      <w:szCs w:val="24"/>
      <w:lang w:eastAsia="pt-PT"/>
    </w:rPr>
  </w:style>
  <w:style w:type="character" w:customStyle="1" w:styleId="apple-converted-space">
    <w:name w:val="apple-converted-space"/>
    <w:basedOn w:val="Tipodeletrapredefinidodopargrafo"/>
    <w:rsid w:val="00F82958"/>
  </w:style>
  <w:style w:type="character" w:styleId="Forte">
    <w:name w:val="Strong"/>
    <w:uiPriority w:val="22"/>
    <w:qFormat/>
    <w:rsid w:val="00014209"/>
    <w:rPr>
      <w:b/>
      <w:bCs/>
    </w:rPr>
  </w:style>
  <w:style w:type="paragraph" w:customStyle="1" w:styleId="Pa3">
    <w:name w:val="Pa3"/>
    <w:basedOn w:val="Default"/>
    <w:next w:val="Default"/>
    <w:uiPriority w:val="99"/>
    <w:rsid w:val="008B6357"/>
    <w:pPr>
      <w:spacing w:line="200" w:lineRule="atLeast"/>
    </w:pPr>
    <w:rPr>
      <w:color w:val="auto"/>
    </w:rPr>
  </w:style>
  <w:style w:type="paragraph" w:customStyle="1" w:styleId="Pa7">
    <w:name w:val="Pa7"/>
    <w:basedOn w:val="Default"/>
    <w:next w:val="Default"/>
    <w:uiPriority w:val="99"/>
    <w:rsid w:val="002105D0"/>
    <w:pPr>
      <w:spacing w:line="200" w:lineRule="atLeast"/>
    </w:pPr>
    <w:rPr>
      <w:color w:val="auto"/>
    </w:rPr>
  </w:style>
  <w:style w:type="paragraph" w:styleId="Legenda">
    <w:name w:val="caption"/>
    <w:basedOn w:val="Normal"/>
    <w:next w:val="Normal"/>
    <w:uiPriority w:val="35"/>
    <w:unhideWhenUsed/>
    <w:rsid w:val="00B03D38"/>
    <w:pPr>
      <w:spacing w:line="240" w:lineRule="auto"/>
    </w:pPr>
    <w:rPr>
      <w:b/>
      <w:bCs/>
      <w:color w:val="4F81BD" w:themeColor="accent1"/>
      <w:sz w:val="18"/>
      <w:szCs w:val="18"/>
    </w:rPr>
  </w:style>
  <w:style w:type="paragraph" w:styleId="ndicedeilustraes">
    <w:name w:val="table of figures"/>
    <w:basedOn w:val="Normal"/>
    <w:next w:val="Normal"/>
    <w:uiPriority w:val="99"/>
    <w:unhideWhenUsed/>
    <w:rsid w:val="00B03D38"/>
    <w:pPr>
      <w:spacing w:after="0"/>
    </w:pPr>
  </w:style>
  <w:style w:type="paragraph" w:customStyle="1" w:styleId="Estilo1">
    <w:name w:val="Estilo1"/>
    <w:basedOn w:val="Cabealho1"/>
    <w:rsid w:val="009B0A45"/>
    <w:pPr>
      <w:keepLines/>
      <w:tabs>
        <w:tab w:val="num" w:pos="1077"/>
      </w:tabs>
      <w:spacing w:line="360" w:lineRule="auto"/>
      <w:ind w:left="-284" w:firstLine="908"/>
    </w:pPr>
    <w:rPr>
      <w:sz w:val="26"/>
    </w:rPr>
  </w:style>
  <w:style w:type="character" w:customStyle="1" w:styleId="Cabealho5Carter">
    <w:name w:val="Cabeçalho 5 Caráter"/>
    <w:basedOn w:val="Tipodeletrapredefinidodopargrafo"/>
    <w:link w:val="Cabealho5"/>
    <w:uiPriority w:val="9"/>
    <w:semiHidden/>
    <w:rsid w:val="00014209"/>
    <w:rPr>
      <w:rFonts w:asciiTheme="majorHAnsi" w:eastAsiaTheme="majorEastAsia" w:hAnsiTheme="majorHAnsi" w:cstheme="majorBidi"/>
      <w:b/>
      <w:bCs/>
      <w:color w:val="7F7F7F" w:themeColor="text1" w:themeTint="80"/>
    </w:rPr>
  </w:style>
  <w:style w:type="character" w:customStyle="1" w:styleId="Cabealho6Carter">
    <w:name w:val="Cabeçalho 6 Caráter"/>
    <w:basedOn w:val="Tipodeletrapredefinidodopargrafo"/>
    <w:link w:val="Cabealho6"/>
    <w:uiPriority w:val="9"/>
    <w:semiHidden/>
    <w:rsid w:val="00014209"/>
    <w:rPr>
      <w:rFonts w:asciiTheme="majorHAnsi" w:eastAsiaTheme="majorEastAsia" w:hAnsiTheme="majorHAnsi" w:cstheme="majorBidi"/>
      <w:b/>
      <w:bCs/>
      <w:i/>
      <w:iCs/>
      <w:color w:val="7F7F7F" w:themeColor="text1" w:themeTint="80"/>
    </w:rPr>
  </w:style>
  <w:style w:type="character" w:customStyle="1" w:styleId="Cabealho7Carter">
    <w:name w:val="Cabeçalho 7 Caráter"/>
    <w:basedOn w:val="Tipodeletrapredefinidodopargrafo"/>
    <w:link w:val="Cabealho7"/>
    <w:uiPriority w:val="9"/>
    <w:semiHidden/>
    <w:rsid w:val="00014209"/>
    <w:rPr>
      <w:rFonts w:asciiTheme="majorHAnsi" w:eastAsiaTheme="majorEastAsia" w:hAnsiTheme="majorHAnsi" w:cstheme="majorBidi"/>
      <w:i/>
      <w:iCs/>
    </w:rPr>
  </w:style>
  <w:style w:type="character" w:customStyle="1" w:styleId="Cabealho8Carter">
    <w:name w:val="Cabeçalho 8 Caráter"/>
    <w:basedOn w:val="Tipodeletrapredefinidodopargrafo"/>
    <w:link w:val="Cabealho8"/>
    <w:uiPriority w:val="9"/>
    <w:semiHidden/>
    <w:rsid w:val="00014209"/>
    <w:rPr>
      <w:rFonts w:asciiTheme="majorHAnsi" w:eastAsiaTheme="majorEastAsia" w:hAnsiTheme="majorHAnsi" w:cstheme="majorBidi"/>
      <w:sz w:val="20"/>
      <w:szCs w:val="20"/>
    </w:rPr>
  </w:style>
  <w:style w:type="character" w:customStyle="1" w:styleId="Cabealho9Carter">
    <w:name w:val="Cabeçalho 9 Caráter"/>
    <w:basedOn w:val="Tipodeletrapredefinidodopargrafo"/>
    <w:link w:val="Cabealho9"/>
    <w:uiPriority w:val="9"/>
    <w:semiHidden/>
    <w:rsid w:val="00014209"/>
    <w:rPr>
      <w:rFonts w:asciiTheme="majorHAnsi" w:eastAsiaTheme="majorEastAsia" w:hAnsiTheme="majorHAnsi" w:cstheme="majorBidi"/>
      <w:i/>
      <w:iCs/>
      <w:spacing w:val="5"/>
      <w:sz w:val="20"/>
      <w:szCs w:val="20"/>
    </w:rPr>
  </w:style>
  <w:style w:type="character" w:styleId="nfase">
    <w:name w:val="Emphasis"/>
    <w:uiPriority w:val="20"/>
    <w:qFormat/>
    <w:rsid w:val="00014209"/>
    <w:rPr>
      <w:b/>
      <w:bCs/>
      <w:i/>
      <w:iCs/>
      <w:spacing w:val="10"/>
      <w:bdr w:val="none" w:sz="0" w:space="0" w:color="auto"/>
      <w:shd w:val="clear" w:color="auto" w:fill="auto"/>
    </w:rPr>
  </w:style>
  <w:style w:type="paragraph" w:styleId="Citao">
    <w:name w:val="Quote"/>
    <w:basedOn w:val="Normal"/>
    <w:next w:val="Normal"/>
    <w:link w:val="CitaoCarter"/>
    <w:uiPriority w:val="29"/>
    <w:qFormat/>
    <w:rsid w:val="00014209"/>
    <w:pPr>
      <w:spacing w:before="200" w:after="0"/>
      <w:ind w:left="360" w:right="360"/>
    </w:pPr>
    <w:rPr>
      <w:i/>
      <w:iCs/>
    </w:rPr>
  </w:style>
  <w:style w:type="character" w:customStyle="1" w:styleId="CitaoCarter">
    <w:name w:val="Citação Caráter"/>
    <w:basedOn w:val="Tipodeletrapredefinidodopargrafo"/>
    <w:link w:val="Citao"/>
    <w:uiPriority w:val="29"/>
    <w:rsid w:val="00014209"/>
    <w:rPr>
      <w:i/>
      <w:iCs/>
    </w:rPr>
  </w:style>
  <w:style w:type="paragraph" w:styleId="CitaoIntensa">
    <w:name w:val="Intense Quote"/>
    <w:basedOn w:val="Normal"/>
    <w:next w:val="Normal"/>
    <w:link w:val="CitaoIntensaCarter"/>
    <w:uiPriority w:val="30"/>
    <w:qFormat/>
    <w:rsid w:val="00014209"/>
    <w:pPr>
      <w:pBdr>
        <w:bottom w:val="single" w:sz="4" w:space="1" w:color="auto"/>
      </w:pBdr>
      <w:spacing w:before="200" w:after="280"/>
      <w:ind w:left="1008" w:right="1152"/>
      <w:jc w:val="both"/>
    </w:pPr>
    <w:rPr>
      <w:b/>
      <w:bCs/>
      <w:i/>
      <w:iCs/>
    </w:rPr>
  </w:style>
  <w:style w:type="character" w:customStyle="1" w:styleId="CitaoIntensaCarter">
    <w:name w:val="Citação Intensa Caráter"/>
    <w:basedOn w:val="Tipodeletrapredefinidodopargrafo"/>
    <w:link w:val="CitaoIntensa"/>
    <w:uiPriority w:val="30"/>
    <w:rsid w:val="00014209"/>
    <w:rPr>
      <w:b/>
      <w:bCs/>
      <w:i/>
      <w:iCs/>
    </w:rPr>
  </w:style>
  <w:style w:type="character" w:styleId="nfaseDiscreto">
    <w:name w:val="Subtle Emphasis"/>
    <w:uiPriority w:val="19"/>
    <w:qFormat/>
    <w:rsid w:val="00014209"/>
    <w:rPr>
      <w:i/>
      <w:iCs/>
    </w:rPr>
  </w:style>
  <w:style w:type="character" w:styleId="nfaseIntenso">
    <w:name w:val="Intense Emphasis"/>
    <w:uiPriority w:val="21"/>
    <w:qFormat/>
    <w:rsid w:val="00014209"/>
    <w:rPr>
      <w:b/>
      <w:bCs/>
    </w:rPr>
  </w:style>
  <w:style w:type="character" w:styleId="RefernciaDiscreta">
    <w:name w:val="Subtle Reference"/>
    <w:uiPriority w:val="31"/>
    <w:qFormat/>
    <w:rsid w:val="00014209"/>
    <w:rPr>
      <w:smallCaps/>
    </w:rPr>
  </w:style>
  <w:style w:type="character" w:styleId="RefernciaIntensa">
    <w:name w:val="Intense Reference"/>
    <w:uiPriority w:val="32"/>
    <w:qFormat/>
    <w:rsid w:val="00014209"/>
    <w:rPr>
      <w:smallCaps/>
      <w:spacing w:val="5"/>
      <w:u w:val="single"/>
    </w:rPr>
  </w:style>
  <w:style w:type="character" w:styleId="TtulodoLivro">
    <w:name w:val="Book Title"/>
    <w:uiPriority w:val="33"/>
    <w:qFormat/>
    <w:rsid w:val="00014209"/>
    <w:rPr>
      <w:i/>
      <w:iCs/>
      <w:smallCaps/>
      <w:spacing w:val="5"/>
    </w:rPr>
  </w:style>
  <w:style w:type="paragraph" w:styleId="Reviso">
    <w:name w:val="Revision"/>
    <w:hidden/>
    <w:uiPriority w:val="99"/>
    <w:semiHidden/>
    <w:rsid w:val="00F30B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984784">
      <w:bodyDiv w:val="1"/>
      <w:marLeft w:val="0"/>
      <w:marRight w:val="0"/>
      <w:marTop w:val="0"/>
      <w:marBottom w:val="0"/>
      <w:divBdr>
        <w:top w:val="none" w:sz="0" w:space="0" w:color="auto"/>
        <w:left w:val="none" w:sz="0" w:space="0" w:color="auto"/>
        <w:bottom w:val="none" w:sz="0" w:space="0" w:color="auto"/>
        <w:right w:val="none" w:sz="0" w:space="0" w:color="auto"/>
      </w:divBdr>
    </w:div>
    <w:div w:id="100805869">
      <w:bodyDiv w:val="1"/>
      <w:marLeft w:val="0"/>
      <w:marRight w:val="0"/>
      <w:marTop w:val="0"/>
      <w:marBottom w:val="0"/>
      <w:divBdr>
        <w:top w:val="none" w:sz="0" w:space="0" w:color="auto"/>
        <w:left w:val="none" w:sz="0" w:space="0" w:color="auto"/>
        <w:bottom w:val="none" w:sz="0" w:space="0" w:color="auto"/>
        <w:right w:val="none" w:sz="0" w:space="0" w:color="auto"/>
      </w:divBdr>
    </w:div>
    <w:div w:id="252856047">
      <w:bodyDiv w:val="1"/>
      <w:marLeft w:val="0"/>
      <w:marRight w:val="0"/>
      <w:marTop w:val="0"/>
      <w:marBottom w:val="0"/>
      <w:divBdr>
        <w:top w:val="none" w:sz="0" w:space="0" w:color="auto"/>
        <w:left w:val="none" w:sz="0" w:space="0" w:color="auto"/>
        <w:bottom w:val="none" w:sz="0" w:space="0" w:color="auto"/>
        <w:right w:val="none" w:sz="0" w:space="0" w:color="auto"/>
      </w:divBdr>
      <w:divsChild>
        <w:div w:id="1676108804">
          <w:marLeft w:val="0"/>
          <w:marRight w:val="0"/>
          <w:marTop w:val="0"/>
          <w:marBottom w:val="450"/>
          <w:divBdr>
            <w:top w:val="none" w:sz="0" w:space="0" w:color="auto"/>
            <w:left w:val="none" w:sz="0" w:space="0" w:color="auto"/>
            <w:bottom w:val="none" w:sz="0" w:space="0" w:color="auto"/>
            <w:right w:val="none" w:sz="0" w:space="0" w:color="auto"/>
          </w:divBdr>
        </w:div>
      </w:divsChild>
    </w:div>
    <w:div w:id="426850570">
      <w:bodyDiv w:val="1"/>
      <w:marLeft w:val="0"/>
      <w:marRight w:val="0"/>
      <w:marTop w:val="0"/>
      <w:marBottom w:val="0"/>
      <w:divBdr>
        <w:top w:val="none" w:sz="0" w:space="0" w:color="auto"/>
        <w:left w:val="none" w:sz="0" w:space="0" w:color="auto"/>
        <w:bottom w:val="none" w:sz="0" w:space="0" w:color="auto"/>
        <w:right w:val="none" w:sz="0" w:space="0" w:color="auto"/>
      </w:divBdr>
    </w:div>
    <w:div w:id="619458598">
      <w:bodyDiv w:val="1"/>
      <w:marLeft w:val="0"/>
      <w:marRight w:val="0"/>
      <w:marTop w:val="0"/>
      <w:marBottom w:val="0"/>
      <w:divBdr>
        <w:top w:val="none" w:sz="0" w:space="0" w:color="auto"/>
        <w:left w:val="none" w:sz="0" w:space="0" w:color="auto"/>
        <w:bottom w:val="none" w:sz="0" w:space="0" w:color="auto"/>
        <w:right w:val="none" w:sz="0" w:space="0" w:color="auto"/>
      </w:divBdr>
    </w:div>
    <w:div w:id="789084272">
      <w:bodyDiv w:val="1"/>
      <w:marLeft w:val="0"/>
      <w:marRight w:val="0"/>
      <w:marTop w:val="0"/>
      <w:marBottom w:val="0"/>
      <w:divBdr>
        <w:top w:val="none" w:sz="0" w:space="0" w:color="auto"/>
        <w:left w:val="none" w:sz="0" w:space="0" w:color="auto"/>
        <w:bottom w:val="none" w:sz="0" w:space="0" w:color="auto"/>
        <w:right w:val="none" w:sz="0" w:space="0" w:color="auto"/>
      </w:divBdr>
    </w:div>
    <w:div w:id="824853577">
      <w:bodyDiv w:val="1"/>
      <w:marLeft w:val="0"/>
      <w:marRight w:val="0"/>
      <w:marTop w:val="0"/>
      <w:marBottom w:val="0"/>
      <w:divBdr>
        <w:top w:val="none" w:sz="0" w:space="0" w:color="auto"/>
        <w:left w:val="none" w:sz="0" w:space="0" w:color="auto"/>
        <w:bottom w:val="none" w:sz="0" w:space="0" w:color="auto"/>
        <w:right w:val="none" w:sz="0" w:space="0" w:color="auto"/>
      </w:divBdr>
    </w:div>
    <w:div w:id="986788873">
      <w:bodyDiv w:val="1"/>
      <w:marLeft w:val="0"/>
      <w:marRight w:val="0"/>
      <w:marTop w:val="0"/>
      <w:marBottom w:val="0"/>
      <w:divBdr>
        <w:top w:val="none" w:sz="0" w:space="0" w:color="auto"/>
        <w:left w:val="none" w:sz="0" w:space="0" w:color="auto"/>
        <w:bottom w:val="none" w:sz="0" w:space="0" w:color="auto"/>
        <w:right w:val="none" w:sz="0" w:space="0" w:color="auto"/>
      </w:divBdr>
    </w:div>
    <w:div w:id="1008369134">
      <w:bodyDiv w:val="1"/>
      <w:marLeft w:val="0"/>
      <w:marRight w:val="0"/>
      <w:marTop w:val="0"/>
      <w:marBottom w:val="0"/>
      <w:divBdr>
        <w:top w:val="none" w:sz="0" w:space="0" w:color="auto"/>
        <w:left w:val="none" w:sz="0" w:space="0" w:color="auto"/>
        <w:bottom w:val="none" w:sz="0" w:space="0" w:color="auto"/>
        <w:right w:val="none" w:sz="0" w:space="0" w:color="auto"/>
      </w:divBdr>
    </w:div>
    <w:div w:id="1257789338">
      <w:bodyDiv w:val="1"/>
      <w:marLeft w:val="0"/>
      <w:marRight w:val="0"/>
      <w:marTop w:val="0"/>
      <w:marBottom w:val="0"/>
      <w:divBdr>
        <w:top w:val="none" w:sz="0" w:space="0" w:color="auto"/>
        <w:left w:val="none" w:sz="0" w:space="0" w:color="auto"/>
        <w:bottom w:val="none" w:sz="0" w:space="0" w:color="auto"/>
        <w:right w:val="none" w:sz="0" w:space="0" w:color="auto"/>
      </w:divBdr>
    </w:div>
    <w:div w:id="1464955991">
      <w:bodyDiv w:val="1"/>
      <w:marLeft w:val="0"/>
      <w:marRight w:val="0"/>
      <w:marTop w:val="0"/>
      <w:marBottom w:val="0"/>
      <w:divBdr>
        <w:top w:val="none" w:sz="0" w:space="0" w:color="auto"/>
        <w:left w:val="none" w:sz="0" w:space="0" w:color="auto"/>
        <w:bottom w:val="none" w:sz="0" w:space="0" w:color="auto"/>
        <w:right w:val="none" w:sz="0" w:space="0" w:color="auto"/>
      </w:divBdr>
    </w:div>
    <w:div w:id="1510681041">
      <w:bodyDiv w:val="1"/>
      <w:marLeft w:val="0"/>
      <w:marRight w:val="0"/>
      <w:marTop w:val="0"/>
      <w:marBottom w:val="0"/>
      <w:divBdr>
        <w:top w:val="none" w:sz="0" w:space="0" w:color="auto"/>
        <w:left w:val="none" w:sz="0" w:space="0" w:color="auto"/>
        <w:bottom w:val="none" w:sz="0" w:space="0" w:color="auto"/>
        <w:right w:val="none" w:sz="0" w:space="0" w:color="auto"/>
      </w:divBdr>
    </w:div>
    <w:div w:id="1856462643">
      <w:bodyDiv w:val="1"/>
      <w:marLeft w:val="0"/>
      <w:marRight w:val="0"/>
      <w:marTop w:val="0"/>
      <w:marBottom w:val="0"/>
      <w:divBdr>
        <w:top w:val="none" w:sz="0" w:space="0" w:color="auto"/>
        <w:left w:val="none" w:sz="0" w:space="0" w:color="auto"/>
        <w:bottom w:val="none" w:sz="0" w:space="0" w:color="auto"/>
        <w:right w:val="none" w:sz="0" w:space="0" w:color="auto"/>
      </w:divBdr>
      <w:divsChild>
        <w:div w:id="51392503">
          <w:marLeft w:val="0"/>
          <w:marRight w:val="0"/>
          <w:marTop w:val="0"/>
          <w:marBottom w:val="450"/>
          <w:divBdr>
            <w:top w:val="none" w:sz="0" w:space="0" w:color="auto"/>
            <w:left w:val="none" w:sz="0" w:space="0" w:color="auto"/>
            <w:bottom w:val="none" w:sz="0" w:space="0" w:color="auto"/>
            <w:right w:val="none" w:sz="0" w:space="0" w:color="auto"/>
          </w:divBdr>
        </w:div>
      </w:divsChild>
    </w:div>
    <w:div w:id="1911888545">
      <w:bodyDiv w:val="1"/>
      <w:marLeft w:val="0"/>
      <w:marRight w:val="0"/>
      <w:marTop w:val="0"/>
      <w:marBottom w:val="0"/>
      <w:divBdr>
        <w:top w:val="none" w:sz="0" w:space="0" w:color="auto"/>
        <w:left w:val="none" w:sz="0" w:space="0" w:color="auto"/>
        <w:bottom w:val="none" w:sz="0" w:space="0" w:color="auto"/>
        <w:right w:val="none" w:sz="0" w:space="0" w:color="auto"/>
      </w:divBdr>
    </w:div>
    <w:div w:id="1922182733">
      <w:bodyDiv w:val="1"/>
      <w:marLeft w:val="0"/>
      <w:marRight w:val="0"/>
      <w:marTop w:val="0"/>
      <w:marBottom w:val="0"/>
      <w:divBdr>
        <w:top w:val="none" w:sz="0" w:space="0" w:color="auto"/>
        <w:left w:val="none" w:sz="0" w:space="0" w:color="auto"/>
        <w:bottom w:val="none" w:sz="0" w:space="0" w:color="auto"/>
        <w:right w:val="none" w:sz="0" w:space="0" w:color="auto"/>
      </w:divBdr>
    </w:div>
    <w:div w:id="1967539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crissilva@sapo.pt" TargetMode="Externa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file:///C:\Users\Paula\Documents\Disserta&#231;&#227;o\Dioceses\Par&#243;quia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aula\Documents\Disserta&#231;&#227;o\Dioceses\Par&#243;qui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31"/>
    </mc:Choice>
    <mc:Fallback>
      <c:style val="31"/>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[Paróquias.xlsx]Resumo!$C$3:$D$3</c:f>
            </c:numRef>
          </c:val>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[Paróquias.xlsx]Resumo!$C$4:$D$4</c:f>
            </c:numRef>
          </c:val>
        </c:ser>
        <c:ser>
          <c:idx val="2"/>
          <c:order val="2"/>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[Paróquias.xlsx]Resumo!$C$5:$D$5</c:f>
            </c:numRef>
          </c:val>
        </c:ser>
        <c:ser>
          <c:idx val="3"/>
          <c:order val="3"/>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[Paróquias.xlsx]Resumo!$C$6:$D$6</c:f>
            </c:numRef>
          </c:val>
        </c:ser>
        <c:ser>
          <c:idx val="4"/>
          <c:order val="4"/>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[Paróquias.xlsx]Resumo!$C$7:$D$7</c:f>
            </c:numRef>
          </c:val>
        </c:ser>
        <c:ser>
          <c:idx val="5"/>
          <c:order val="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[Paróquias.xlsx]Resumo!$C$8:$D$8</c:f>
            </c:numRef>
          </c:val>
        </c:ser>
        <c:ser>
          <c:idx val="6"/>
          <c:order val="6"/>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[Paróquias.xlsx]Resumo!$C$9:$D$9</c:f>
            </c:numRef>
          </c:val>
        </c:ser>
        <c:ser>
          <c:idx val="7"/>
          <c:order val="7"/>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[Paróquias.xlsx]Resumo!$C$10:$D$10</c:f>
            </c:numRef>
          </c:val>
        </c:ser>
        <c:ser>
          <c:idx val="8"/>
          <c:order val="8"/>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[Paróquias.xlsx]Resumo!$C$11:$D$11</c:f>
            </c:numRef>
          </c:val>
        </c:ser>
        <c:ser>
          <c:idx val="9"/>
          <c:order val="9"/>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[Paróquias.xlsx]Resumo!$C$12:$D$12</c:f>
            </c:numRef>
          </c:val>
        </c:ser>
        <c:ser>
          <c:idx val="10"/>
          <c:order val="1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[Paróquias.xlsx]Resumo!$C$13:$D$13</c:f>
            </c:numRef>
          </c:val>
        </c:ser>
        <c:ser>
          <c:idx val="11"/>
          <c:order val="1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[Paróquias.xlsx]Resumo!$C$14:$D$14</c:f>
            </c:numRef>
          </c:val>
        </c:ser>
        <c:ser>
          <c:idx val="12"/>
          <c:order val="12"/>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[Paróquias.xlsx]Resumo!$C$15:$D$15</c:f>
            </c:numRef>
          </c:val>
        </c:ser>
        <c:ser>
          <c:idx val="13"/>
          <c:order val="13"/>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[Paróquias.xlsx]Resumo!$C$16:$D$16</c:f>
            </c:numRef>
          </c:val>
        </c:ser>
        <c:ser>
          <c:idx val="14"/>
          <c:order val="14"/>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[Paróquias.xlsx]Resumo!$C$17:$D$17</c:f>
            </c:numRef>
          </c:val>
        </c:ser>
        <c:ser>
          <c:idx val="15"/>
          <c:order val="1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[Paróquias.xlsx]Resumo!$C$18:$D$18</c:f>
            </c:numRef>
          </c:val>
        </c:ser>
        <c:ser>
          <c:idx val="16"/>
          <c:order val="16"/>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[Paróquias.xlsx]Resumo!$C$19:$D$19</c:f>
            </c:numRef>
          </c:val>
        </c:ser>
        <c:ser>
          <c:idx val="17"/>
          <c:order val="17"/>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[Paróquias.xlsx]Resumo!$C$20:$D$20</c:f>
            </c:numRef>
          </c:val>
        </c:ser>
        <c:ser>
          <c:idx val="18"/>
          <c:order val="18"/>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[Paróquias.xlsx]Resumo!$C$21:$D$21</c:f>
            </c:numRef>
          </c:val>
        </c:ser>
        <c:ser>
          <c:idx val="19"/>
          <c:order val="19"/>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[Paróquias.xlsx]Resumo!$C$22:$D$22</c:f>
            </c:numRef>
          </c:val>
        </c:ser>
        <c:ser>
          <c:idx val="20"/>
          <c:order val="20"/>
          <c:spPr>
            <a:ln>
              <a:noFill/>
            </a:ln>
          </c:spPr>
          <c:dPt>
            <c:idx val="0"/>
            <c:bubble3D val="0"/>
            <c:spPr>
              <a:solidFill>
                <a:srgbClr val="002060"/>
              </a:solidFill>
              <a:ln>
                <a:noFill/>
              </a:ln>
            </c:spPr>
          </c:dPt>
          <c:dPt>
            <c:idx val="1"/>
            <c:bubble3D val="0"/>
            <c:spPr>
              <a:solidFill>
                <a:schemeClr val="tx2">
                  <a:lumMod val="40000"/>
                  <a:lumOff val="60000"/>
                </a:schemeClr>
              </a:solidFill>
              <a:ln>
                <a:noFill/>
              </a:ln>
            </c:spPr>
          </c:dPt>
          <c:dLbls>
            <c:dLbl>
              <c:idx val="0"/>
              <c:layout>
                <c:manualLayout>
                  <c:x val="-0.14186767279090118"/>
                  <c:y val="-0.28191783318751834"/>
                </c:manualLayout>
              </c:layout>
              <c:tx>
                <c:rich>
                  <a:bodyPr/>
                  <a:lstStyle/>
                  <a:p>
                    <a:r>
                      <a:rPr lang="en-US" b="1">
                        <a:solidFill>
                          <a:schemeClr val="bg1"/>
                        </a:solidFill>
                      </a:rPr>
                      <a:t>85,6%</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b="1"/>
                      <a:t>14,4%</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[Paróquias.xlsx]Resumo!$C$2:$D$2</c:f>
              <c:strCache>
                <c:ptCount val="2"/>
                <c:pt idx="0">
                  <c:v>Não</c:v>
                </c:pt>
                <c:pt idx="1">
                  <c:v>Sim</c:v>
                </c:pt>
              </c:strCache>
            </c:strRef>
          </c:cat>
          <c:val>
            <c:numRef>
              <c:f>[Paróquias.xlsx]Resumo!$C$23:$D$23</c:f>
              <c:numCache>
                <c:formatCode>General</c:formatCode>
                <c:ptCount val="2"/>
                <c:pt idx="0">
                  <c:v>3743</c:v>
                </c:pt>
                <c:pt idx="1">
                  <c:v>630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50"/>
      <c:rotY val="0"/>
      <c:rAngAx val="0"/>
    </c:view3D>
    <c:floor>
      <c:thickness val="0"/>
    </c:floor>
    <c:sideWall>
      <c:thickness val="0"/>
    </c:sideWall>
    <c:backWall>
      <c:thickness val="0"/>
    </c:backWall>
    <c:plotArea>
      <c:layout/>
      <c:pie3DChart>
        <c:varyColors val="1"/>
        <c:ser>
          <c:idx val="0"/>
          <c:order val="0"/>
          <c:dLbls>
            <c:dLbl>
              <c:idx val="0"/>
              <c:layout>
                <c:manualLayout>
                  <c:x val="-6.2309700046053532E-2"/>
                  <c:y val="9.5101058352540721E-2"/>
                </c:manualLayout>
              </c:layout>
              <c:tx>
                <c:rich>
                  <a:bodyPr/>
                  <a:lstStyle/>
                  <a:p>
                    <a:r>
                      <a:rPr lang="en-US"/>
                      <a:t>19%</a:t>
                    </a:r>
                  </a:p>
                </c:rich>
              </c:tx>
              <c:showLegendKey val="0"/>
              <c:showVal val="0"/>
              <c:showCatName val="0"/>
              <c:showSerName val="0"/>
              <c:showPercent val="1"/>
              <c:showBubbleSize val="0"/>
              <c:extLst>
                <c:ext xmlns:c15="http://schemas.microsoft.com/office/drawing/2012/chart" uri="{CE6537A1-D6FC-4f65-9D91-7224C49458BB}"/>
              </c:extLst>
            </c:dLbl>
            <c:dLbl>
              <c:idx val="1"/>
              <c:layout>
                <c:manualLayout>
                  <c:x val="-1.886480344457913E-2"/>
                  <c:y val="-8.0518054704479258E-3"/>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1.4074552574694437E-2"/>
                  <c:y val="-1.9749661760334034E-3"/>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9.004048127274375E-2"/>
                  <c:y val="-0.18688002034318038"/>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7.0918802767395844E-2"/>
                  <c:y val="-0.12450276668716274"/>
                </c:manualLayout>
              </c:layout>
              <c:tx>
                <c:rich>
                  <a:bodyPr/>
                  <a:lstStyle/>
                  <a:p>
                    <a:r>
                      <a:rPr lang="en-US"/>
                      <a:t>10%</a:t>
                    </a:r>
                  </a:p>
                </c:rich>
              </c:tx>
              <c:showLegendKey val="0"/>
              <c:showVal val="0"/>
              <c:showCatName val="0"/>
              <c:showSerName val="0"/>
              <c:showPercent val="1"/>
              <c:showBubbleSize val="0"/>
              <c:extLst>
                <c:ext xmlns:c15="http://schemas.microsoft.com/office/drawing/2012/chart" uri="{CE6537A1-D6FC-4f65-9D91-7224C49458BB}"/>
              </c:extLst>
            </c:dLbl>
            <c:dLbl>
              <c:idx val="5"/>
              <c:layout>
                <c:manualLayout>
                  <c:x val="8.0945408457503212E-3"/>
                  <c:y val="-6.2688491621231787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7.8765397846975779E-3"/>
                  <c:y val="-6.6384034508325376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1.9131329359105765E-2"/>
                  <c:y val="-5.3880939110001773E-3"/>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3.4929055401492645E-2"/>
                  <c:y val="4.3501441866654776E-3"/>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6.582206964452933E-2"/>
                  <c:y val="9.7735944460255547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b="1"/>
                </a:pPr>
                <a:endParaRPr lang="pt-PT"/>
              </a:p>
            </c:txPr>
            <c:showLegendKey val="0"/>
            <c:showVal val="0"/>
            <c:showCatName val="0"/>
            <c:showSerName val="0"/>
            <c:showPercent val="1"/>
            <c:showBubbleSize val="0"/>
            <c:showLeaderLines val="0"/>
            <c:extLst>
              <c:ext xmlns:c15="http://schemas.microsoft.com/office/drawing/2012/chart" uri="{CE6537A1-D6FC-4f65-9D91-7224C49458BB}"/>
            </c:extLst>
          </c:dLbls>
          <c:cat>
            <c:strRef>
              <c:f>[Paróquias.xlsx]Receitas_Despesas!$AI$3:$AI$12</c:f>
              <c:strCache>
                <c:ptCount val="10"/>
                <c:pt idx="0">
                  <c:v>Contributo paroquial</c:v>
                </c:pt>
                <c:pt idx="1">
                  <c:v>Emolumentos/Sacramentos</c:v>
                </c:pt>
                <c:pt idx="2">
                  <c:v>Culto divino</c:v>
                </c:pt>
                <c:pt idx="3">
                  <c:v>Ofertórios</c:v>
                </c:pt>
                <c:pt idx="4">
                  <c:v>Aluguer de instalações</c:v>
                </c:pt>
                <c:pt idx="5">
                  <c:v>Donativos/Subsídios</c:v>
                </c:pt>
                <c:pt idx="6">
                  <c:v>Saldos de festas religiosas</c:v>
                </c:pt>
                <c:pt idx="7">
                  <c:v>Restituição de impostos</c:v>
                </c:pt>
                <c:pt idx="8">
                  <c:v>Ofertas para obras</c:v>
                </c:pt>
                <c:pt idx="9">
                  <c:v>Receitas diversas</c:v>
                </c:pt>
              </c:strCache>
            </c:strRef>
          </c:cat>
          <c:val>
            <c:numRef>
              <c:f>[Paróquias.xlsx]Receitas_Despesas!$AJ$3:$AJ$12</c:f>
              <c:numCache>
                <c:formatCode>0.0</c:formatCode>
                <c:ptCount val="10"/>
                <c:pt idx="0">
                  <c:v>18.45863576618159</c:v>
                </c:pt>
                <c:pt idx="1">
                  <c:v>2.7967308958456534</c:v>
                </c:pt>
                <c:pt idx="2">
                  <c:v>4.154131238500276</c:v>
                </c:pt>
                <c:pt idx="3">
                  <c:v>33.63888412828328</c:v>
                </c:pt>
                <c:pt idx="4">
                  <c:v>10.475183001963535</c:v>
                </c:pt>
                <c:pt idx="5">
                  <c:v>2.3738022531414726</c:v>
                </c:pt>
                <c:pt idx="6">
                  <c:v>3.3504019414310164</c:v>
                </c:pt>
                <c:pt idx="7">
                  <c:v>1.9250424974524318</c:v>
                </c:pt>
                <c:pt idx="8">
                  <c:v>3.0780668628126078</c:v>
                </c:pt>
                <c:pt idx="9">
                  <c:v>19.749121414388132</c:v>
                </c:pt>
              </c:numCache>
            </c:numRef>
          </c:val>
        </c:ser>
        <c:dLbls>
          <c:showLegendKey val="0"/>
          <c:showVal val="0"/>
          <c:showCatName val="0"/>
          <c:showSerName val="0"/>
          <c:showPercent val="1"/>
          <c:showBubbleSize val="0"/>
          <c:showLeaderLines val="0"/>
        </c:dLbls>
      </c:pie3DChart>
    </c:plotArea>
    <c:legend>
      <c:legendPos val="r"/>
      <c:layout>
        <c:manualLayout>
          <c:xMode val="edge"/>
          <c:yMode val="edge"/>
          <c:x val="0.63677982875091432"/>
          <c:y val="4.8766761297694944E-2"/>
          <c:w val="0.34395212271617803"/>
          <c:h val="0.8658011260042876"/>
        </c:manualLayout>
      </c:layout>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50"/>
      <c:rotY val="0"/>
      <c:rAngAx val="0"/>
    </c:view3D>
    <c:floor>
      <c:thickness val="0"/>
    </c:floor>
    <c:sideWall>
      <c:thickness val="0"/>
    </c:sideWall>
    <c:backWall>
      <c:thickness val="0"/>
    </c:backWall>
    <c:plotArea>
      <c:layout/>
      <c:pie3DChart>
        <c:varyColors val="1"/>
        <c:ser>
          <c:idx val="0"/>
          <c:order val="0"/>
          <c:dLbls>
            <c:dLbl>
              <c:idx val="0"/>
              <c:layout>
                <c:manualLayout>
                  <c:x val="-8.5903451488359178E-2"/>
                  <c:y val="5.8568001580447643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5.6297331434253334E-2"/>
                  <c:y val="-0.16357265825642761"/>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1.3422912579613554E-2"/>
                  <c:y val="-1.3066915022718944E-4"/>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0160884326319291E-2"/>
                  <c:y val="-7.8457934693647226E-3"/>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3.852480897225731E-2"/>
                  <c:y val="-0.14027516721700109"/>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5.2824881531446871E-3"/>
                  <c:y val="-5.9424829960771034E-3"/>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9.1402363100516942E-2"/>
                  <c:y val="-4.6111534445291133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5.2528793243760342E-2"/>
                  <c:y val="7.4509962781983435E-2"/>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4.1156288910985113E-2"/>
                  <c:y val="9.4026754720176187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b="1"/>
                </a:pPr>
                <a:endParaRPr lang="pt-PT"/>
              </a:p>
            </c:txPr>
            <c:showLegendKey val="0"/>
            <c:showVal val="0"/>
            <c:showCatName val="0"/>
            <c:showSerName val="0"/>
            <c:showPercent val="1"/>
            <c:showBubbleSize val="0"/>
            <c:showLeaderLines val="1"/>
            <c:extLst>
              <c:ext xmlns:c15="http://schemas.microsoft.com/office/drawing/2012/chart" uri="{CE6537A1-D6FC-4f65-9D91-7224C49458BB}"/>
            </c:extLst>
          </c:dLbls>
          <c:cat>
            <c:strRef>
              <c:f>[Paróquias.xlsx]Receitas_Despesas!$AI$15:$AI$23</c:f>
              <c:strCache>
                <c:ptCount val="9"/>
                <c:pt idx="0">
                  <c:v>Gastos com pessoal</c:v>
                </c:pt>
                <c:pt idx="1">
                  <c:v>FSE</c:v>
                </c:pt>
                <c:pt idx="2">
                  <c:v>Taxas e Impostos</c:v>
                </c:pt>
                <c:pt idx="3">
                  <c:v>Culto divino</c:v>
                </c:pt>
                <c:pt idx="4">
                  <c:v>Formação</c:v>
                </c:pt>
                <c:pt idx="5">
                  <c:v>Cúria</c:v>
                </c:pt>
                <c:pt idx="6">
                  <c:v>Obras </c:v>
                </c:pt>
                <c:pt idx="7">
                  <c:v>Equipamentos</c:v>
                </c:pt>
                <c:pt idx="8">
                  <c:v>Despesas Diversas</c:v>
                </c:pt>
              </c:strCache>
            </c:strRef>
          </c:cat>
          <c:val>
            <c:numRef>
              <c:f>[Paróquias.xlsx]Receitas_Despesas!$AJ$15:$AJ$23</c:f>
              <c:numCache>
                <c:formatCode>0.00</c:formatCode>
                <c:ptCount val="9"/>
                <c:pt idx="0">
                  <c:v>32.661067140785782</c:v>
                </c:pt>
                <c:pt idx="1">
                  <c:v>18.945863591600258</c:v>
                </c:pt>
                <c:pt idx="2">
                  <c:v>1.8353695791722868</c:v>
                </c:pt>
                <c:pt idx="3">
                  <c:v>2.0105462293979364</c:v>
                </c:pt>
                <c:pt idx="4">
                  <c:v>4.5425151719650438</c:v>
                </c:pt>
                <c:pt idx="5">
                  <c:v>1.3471081550654291</c:v>
                </c:pt>
                <c:pt idx="6">
                  <c:v>27.431543024810033</c:v>
                </c:pt>
                <c:pt idx="7">
                  <c:v>3.5196435149147649</c:v>
                </c:pt>
                <c:pt idx="8">
                  <c:v>7.7063435922884675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b:Source>
    <b:Tag>Yin94</b:Tag>
    <b:SourceType>Book</b:SourceType>
    <b:Guid>{459633BE-1943-4FC3-BB18-694C6788AD72}</b:Guid>
    <b:Title>Case Study Research: Design and Methods</b:Title>
    <b:Year>1994</b:Year>
    <b:City>Thousand Oaks, CA</b:City>
    <b:Publisher>Sage Publications.</b:Publisher>
    <b:Author>
      <b:Author>
        <b:NameList>
          <b:Person>
            <b:Last>Yin</b:Last>
            <b:First>R.</b:First>
          </b:Person>
        </b:NameList>
      </b:Author>
    </b:Author>
    <b:RefOrder>1</b:RefOrder>
  </b:Source>
  <b:Source>
    <b:Tag>Vie09</b:Tag>
    <b:SourceType>Book</b:SourceType>
    <b:Guid>{306569EA-D64F-4AAD-8AE4-9030751171AD}</b:Guid>
    <b:Title>Contabilidade e Controlo de Gestão - Teoria, Metodologia e Prática</b:Title>
    <b:Year>2009</b:Year>
    <b:City>Lisboa</b:City>
    <b:Publisher>Escolar Editora</b:Publisher>
    <b:Author>
      <b:Author>
        <b:NameList>
          <b:Person>
            <b:Last>Vieira</b:Last>
            <b:First>Rui</b:First>
          </b:Person>
          <b:Person>
            <b:Last>Major</b:Last>
            <b:Middle>João</b:Middle>
            <b:First>Maria</b:First>
          </b:Person>
        </b:NameList>
      </b:Author>
    </b:Author>
    <b:RefOrder>2</b:RefOrder>
  </b:Source>
  <b:Source>
    <b:Tag>Sou11</b:Tag>
    <b:SourceType>Book</b:SourceType>
    <b:Guid>{E3F80FCC-DE3E-4BC3-8A66-D8FD3E77A155}</b:Guid>
    <b:Title>Como fazer investigação, dissertações, teses e relatórios</b:Title>
    <b:Year>2011</b:Year>
    <b:City>Lisboa</b:City>
    <b:Publisher>Pactor - Edições de Ciências Sociais e Política Contemporânea</b:Publisher>
    <b:Author>
      <b:Author>
        <b:NameList>
          <b:Person>
            <b:Last>Sousa</b:Last>
            <b:Middle>José</b:Middle>
            <b:First>Maria</b:First>
          </b:Person>
          <b:Person>
            <b:Last>Baptista</b:Last>
            <b:Middle>Sales</b:Middle>
            <b:First>Cristina</b:First>
          </b:Person>
        </b:NameList>
      </b:Author>
    </b:Author>
    <b:RefOrder>3</b:RefOrder>
  </b:Source>
  <b:Source>
    <b:Tag>Soa13</b:Tag>
    <b:SourceType>Report</b:SourceType>
    <b:Guid>{70965942-C55E-4242-8C83-F6116A59F8A2}</b:Guid>
    <b:Title>A Economia Social e a sua Sustentabilidade como Fator de Inclusão Social</b:Title>
    <b:Year>2013</b:Year>
    <b:City>Acedido em 27 de setembro de 2016, disponível em: http://www.poatfse.qren.pt/upload/docs/Diversos/ESTUDOS/Relatorio%20Final.pdf</b:City>
    <b:Author>
      <b:Author>
        <b:NameList>
          <b:Person>
            <b:Last>Soares</b:Last>
            <b:First>Cândida</b:First>
          </b:Person>
          <b:Person>
            <b:Last>Fialho</b:Last>
            <b:Middle>António</b:Middle>
            <b:First>José</b:First>
          </b:Person>
          <b:Person>
            <b:Last>Chau</b:Last>
            <b:First>Fernando</b:First>
          </b:Person>
          <b:Person>
            <b:Last>Gageiro</b:Last>
            <b:First>João</b:First>
          </b:Person>
          <b:Person>
            <b:Last>Pestana</b:Last>
            <b:First>Helena</b:First>
          </b:Person>
        </b:NameList>
      </b:Author>
    </b:Author>
    <b:RefOrder>4</b:RefOrder>
  </b:Source>
  <b:Source>
    <b:Tag>Sil14</b:Tag>
    <b:SourceType>Book</b:SourceType>
    <b:Guid>{C44BE628-B018-4C2E-99C2-08A4D0881F38}</b:Guid>
    <b:Title>Sustentabilidade das Instituições Particulares de Solidariedade Social em Portugal</b:Title>
    <b:Year>2014</b:Year>
    <b:Author>
      <b:Author>
        <b:NameList>
          <b:Person>
            <b:Last>Silva</b:Last>
            <b:First>Silvia</b:First>
          </b:Person>
          <b:Person>
            <b:Last>Santos</b:Last>
            <b:First>Natacha</b:First>
          </b:Person>
          <b:Person>
            <b:Last>Mota</b:Last>
            <b:First>Jorge</b:First>
          </b:Person>
          <b:Person>
            <b:Last>Martín</b:Last>
            <b:First>Ignacio</b:First>
          </b:Person>
        </b:NameList>
      </b:Author>
    </b:Author>
    <b:RefOrder>5</b:RefOrder>
  </b:Source>
  <b:Source>
    <b:Tag>Ser00</b:Tag>
    <b:SourceType>Book</b:SourceType>
    <b:Guid>{3DC7A99B-5C64-4012-BB69-6B49B68CFCD0}</b:Guid>
    <b:Title>Métodos qualitativos e quantitativos: algumas estratégias para a integração</b:Title>
    <b:Year>2000</b:Year>
    <b:Publisher>Ciência &amp; Saúde Coletiva, Vol. 5</b:Publisher>
    <b:Author>
      <b:Author>
        <b:NameList>
          <b:Person>
            <b:Last>Serapioni</b:Last>
            <b:First>M.</b:First>
          </b:Person>
        </b:NameList>
      </b:Author>
    </b:Author>
    <b:RefOrder>6</b:RefOrder>
  </b:Source>
  <b:Source>
    <b:Tag>San12</b:Tag>
    <b:SourceType>Book</b:SourceType>
    <b:Guid>{ECB69C84-CD68-41E7-B357-BB2BC099E217}</b:Guid>
    <b:Title>Entidades do setor não lucrativo (NCRF-ESNL e fiscalidade)</b:Title>
    <b:Year>2012</b:Year>
    <b:City>Lisboa</b:City>
    <b:Publisher>Ordem dos Tecnicos Oficiais de Contas</b:Publisher>
    <b:Author>
      <b:Author>
        <b:NameList>
          <b:Person>
            <b:Last>Santos</b:Last>
            <b:Middle>Gomes</b:Middle>
            <b:First>José</b:First>
          </b:Person>
          <b:Person>
            <b:Last>Raimundo</b:Last>
            <b:Middle>Neves</b:Middle>
            <b:First>José</b:First>
          </b:Person>
          <b:Person>
            <b:Last>Lima</b:Last>
            <b:First>Rui</b:First>
          </b:Person>
        </b:NameList>
      </b:Author>
    </b:Author>
    <b:RefOrder>7</b:RefOrder>
  </b:Source>
  <b:Source>
    <b:Tag>Rya02</b:Tag>
    <b:SourceType>Book</b:SourceType>
    <b:Guid>{23415D3D-5662-4692-B049-28E7DD7E4F82}</b:Guid>
    <b:Title>Research Method and Methodology in Finance and Accounting, 2.ª Ed.</b:Title>
    <b:Year>2002</b:Year>
    <b:City>London</b:City>
    <b:Publisher>Thomson</b:Publisher>
    <b:Author>
      <b:Author>
        <b:NameList>
          <b:Person>
            <b:Last>Ryan</b:Last>
            <b:First>Bob</b:First>
          </b:Person>
          <b:Person>
            <b:Last>Scapens</b:Last>
            <b:First>Robert W.</b:First>
          </b:Person>
          <b:Person>
            <b:Last>Theobold</b:Last>
            <b:First>Michael</b:First>
          </b:Person>
        </b:NameList>
      </b:Author>
    </b:Author>
    <b:RefOrder>8</b:RefOrder>
  </b:Source>
  <b:Source>
    <b:Tag>Ree98</b:Tag>
    <b:SourceType>Book</b:SourceType>
    <b:Guid>{1E662280-3B20-4A60-97C3-C874A2393A96}</b:Guid>
    <b:Title>No Interior do Vaticano</b:Title>
    <b:Year>1998</b:Year>
    <b:City>Sintra</b:City>
    <b:Publisher>Publicações Europa-América, Ld.ª</b:Publisher>
    <b:Author>
      <b:Author>
        <b:NameList>
          <b:Person>
            <b:Last>Reese</b:Last>
            <b:Middle>J.</b:Middle>
            <b:First>Thomas</b:First>
          </b:Person>
        </b:NameList>
      </b:Author>
    </b:Author>
    <b:RefOrder>9</b:RefOrder>
  </b:Source>
  <b:Source>
    <b:Tag>Qui05</b:Tag>
    <b:SourceType>Book</b:SourceType>
    <b:Guid>{82BB4AC9-D96D-41CA-99CD-9ECE9C3787B2}</b:Guid>
    <b:Title>Manual de investigação em ciências sociais</b:Title>
    <b:Year>2005</b:Year>
    <b:City>(4ª edição) Lisboa</b:City>
    <b:Publisher>Gradiva - Publicações, Ld.ª</b:Publisher>
    <b:Author>
      <b:Author>
        <b:NameList>
          <b:Person>
            <b:Last>Quivy</b:Last>
            <b:First>Raymond</b:First>
          </b:Person>
          <b:Person>
            <b:Last>Campenhoudt</b:Last>
            <b:Middle>Van</b:Middle>
            <b:First>Luc</b:First>
          </b:Person>
        </b:NameList>
      </b:Author>
    </b:Author>
    <b:RefOrder>10</b:RefOrder>
  </b:Source>
  <b:Source>
    <b:Tag>Par07</b:Tag>
    <b:SourceType>JournalArticle</b:SourceType>
    <b:Guid>{C80611E6-A244-4768-9C86-FB32C25ED990}</b:Guid>
    <b:Title>The Impact of Financial Information and Voluntary Disclosures on Contributions to Not‐For‐Profit Organizations</b:Title>
    <b:Year>2007</b:Year>
    <b:Pages>179-196</b:Pages>
    <b:JournalName>Behavioral Research in Accounting, Vol. 19</b:JournalName>
    <b:Author>
      <b:Author>
        <b:NameList>
          <b:Person>
            <b:Last>Parsons</b:Last>
            <b:Middle>M.</b:Middle>
            <b:First>Linda</b:First>
          </b:Person>
        </b:NameList>
      </b:Author>
    </b:Author>
    <b:RefOrder>11</b:RefOrder>
  </b:Source>
  <b:Source>
    <b:Tag>Par3c</b:Tag>
    <b:SourceType>Misc</b:SourceType>
    <b:Guid>{B96702F8-E3DF-4461-A967-3B07095861EB}</b:Guid>
    <b:Title>Ata n.º 3 - Conselho para os Assuntos Económicos</b:Title>
    <b:Year>2013c</b:Year>
    <b:Author>
      <b:Author>
        <b:NameList>
          <b:Person>
            <b:Last>Paróquia de Nossa Senhora da Hora</b:Last>
          </b:Person>
        </b:NameList>
      </b:Author>
    </b:Author>
    <b:RefOrder>12</b:RefOrder>
  </b:Source>
  <b:Source>
    <b:Tag>Par5b</b:Tag>
    <b:SourceType>Misc</b:SourceType>
    <b:Guid>{CCAAA205-8ED6-4B10-80F2-52BD43FC7556}</b:Guid>
    <b:Title>Ata n.º 2 - Conselho para os Assuntos Económicos</b:Title>
    <b:Year>2015b</b:Year>
    <b:Author>
      <b:Author>
        <b:NameList>
          <b:Person>
            <b:Last>Paróquia de Nossa Senhora da Hora</b:Last>
          </b:Person>
        </b:NameList>
      </b:Author>
    </b:Author>
    <b:RefOrder>13</b:RefOrder>
  </b:Source>
  <b:Source>
    <b:Tag>Par4b</b:Tag>
    <b:SourceType>Misc</b:SourceType>
    <b:Guid>{C0D68D21-0C43-4800-8FB8-82ED58C6EA62}</b:Guid>
    <b:Title>Ata n.º 2 - Conselho para os Assuntos Económicos</b:Title>
    <b:Year>2014b</b:Year>
    <b:Author>
      <b:Author>
        <b:NameList>
          <b:Person>
            <b:Last>Paróquia de Nossa Senhora da Hora</b:Last>
          </b:Person>
        </b:NameList>
      </b:Author>
    </b:Author>
    <b:RefOrder>14</b:RefOrder>
  </b:Source>
  <b:Source>
    <b:Tag>Par3b</b:Tag>
    <b:SourceType>Misc</b:SourceType>
    <b:Guid>{4B9C280D-5DC3-4D06-AB17-40E4C8F0BB23}</b:Guid>
    <b:Title>Ata n.º 2 - Conselho para os Assuntos Económicos</b:Title>
    <b:Year>2013b</b:Year>
    <b:Author>
      <b:Author>
        <b:NameList>
          <b:Person>
            <b:Last>Paróquia de Nossa Senhora da Hora</b:Last>
          </b:Person>
        </b:NameList>
      </b:Author>
    </b:Author>
    <b:RefOrder>15</b:RefOrder>
  </b:Source>
  <b:Source>
    <b:Tag>Par1b</b:Tag>
    <b:SourceType>Misc</b:SourceType>
    <b:Guid>{6FA64296-502A-49A9-935A-6DE8CEA54CE3}</b:Guid>
    <b:Title>Ata n.º 2 - Conselho para os Assuntos Económicos</b:Title>
    <b:Year>2011b</b:Year>
    <b:Author>
      <b:Author>
        <b:NameList>
          <b:Person>
            <b:Last>Paróquia de Nossa Senhora da Hora</b:Last>
          </b:Person>
        </b:NameList>
      </b:Author>
    </b:Author>
    <b:RefOrder>16</b:RefOrder>
  </b:Source>
  <b:Source>
    <b:Tag>Par5a</b:Tag>
    <b:SourceType>Misc</b:SourceType>
    <b:Guid>{D2C0D3AD-6816-401D-85B5-D5646B5EAD37}</b:Guid>
    <b:Title>Ata n.º 1 - Conselho para os Assuntos Económicos</b:Title>
    <b:Year>2015a</b:Year>
    <b:Author>
      <b:Author>
        <b:NameList>
          <b:Person>
            <b:Last>Paróquia de Nossa Senhora da Hora</b:Last>
          </b:Person>
        </b:NameList>
      </b:Author>
    </b:Author>
    <b:RefOrder>17</b:RefOrder>
  </b:Source>
  <b:Source>
    <b:Tag>Par4a</b:Tag>
    <b:SourceType>Misc</b:SourceType>
    <b:Guid>{1CBE5748-7F0D-4911-9067-1F96EC41FCA3}</b:Guid>
    <b:Title>Ata n.º 1 - Conselho para os Assuntos Económicos</b:Title>
    <b:Year>2014a</b:Year>
    <b:Author>
      <b:Author>
        <b:NameList>
          <b:Person>
            <b:Last>Paróquia de Nossa Senhora da Hora</b:Last>
          </b:Person>
        </b:NameList>
      </b:Author>
    </b:Author>
    <b:RefOrder>18</b:RefOrder>
  </b:Source>
  <b:Source>
    <b:Tag>Par3a</b:Tag>
    <b:SourceType>Misc</b:SourceType>
    <b:Guid>{25418F76-EC46-4EAC-A4F8-1AF5AC70ABAD}</b:Guid>
    <b:Title>Ata n.º 1 - Conselho para os Assuntos Económicos</b:Title>
    <b:Year>2013a</b:Year>
    <b:Author>
      <b:Author>
        <b:NameList>
          <b:Person>
            <b:Last>Paróquia de Nossa Senhora da Hora</b:Last>
          </b:Person>
        </b:NameList>
      </b:Author>
    </b:Author>
    <b:RefOrder>19</b:RefOrder>
  </b:Source>
  <b:Source>
    <b:Tag>Par12</b:Tag>
    <b:SourceType>Misc</b:SourceType>
    <b:Guid>{F2FAFB59-18E2-410E-BAFB-EEFB61E53355}</b:Guid>
    <b:Title>Ata n.º 1 - Conselho para os Assuntos Económicos</b:Title>
    <b:Year>2012</b:Year>
    <b:Author>
      <b:Author>
        <b:NameList>
          <b:Person>
            <b:Last>Paróquia de Nossa Senhora da Hora</b:Last>
          </b:Person>
        </b:NameList>
      </b:Author>
    </b:Author>
    <b:RefOrder>20</b:RefOrder>
  </b:Source>
  <b:Source>
    <b:Tag>Par11</b:Tag>
    <b:SourceType>Misc</b:SourceType>
    <b:Guid>{E29340A8-7150-4E75-B88E-868963B6EFDE}</b:Guid>
    <b:Title>Ata n.º 1 - Conselho para os Assuntos Económicos</b:Title>
    <b:Year>2011a</b:Year>
    <b:Author>
      <b:Author>
        <b:NameList>
          <b:Person>
            <b:Last>Paróquia de Nossa Senhora da Hora</b:Last>
          </b:Person>
        </b:NameList>
      </b:Author>
    </b:Author>
    <b:RefOrder>21</b:RefOrder>
  </b:Source>
  <b:Source>
    <b:Tag>Par95</b:Tag>
    <b:SourceType>Book</b:SourceType>
    <b:Guid>{847A6B6C-D0F0-4B89-9575-0DE2E615647C}</b:Guid>
    <b:Title>Métodos e técnicas de investigação social</b:Title>
    <b:Year>1995</b:Year>
    <b:City>Porto</b:City>
    <b:Publisher>Areal Editores</b:Publisher>
    <b:Author>
      <b:Author>
        <b:NameList>
          <b:Person>
            <b:Last>Pardal</b:Last>
            <b:First>Luís</b:First>
          </b:Person>
          <b:Person>
            <b:Last>Correia</b:Last>
            <b:First>Eugénia</b:First>
          </b:Person>
        </b:NameList>
      </b:Author>
    </b:Author>
    <b:RefOrder>22</b:RefOrder>
  </b:Source>
  <b:Source>
    <b:Tag>Pac06</b:Tag>
    <b:SourceType>BookSection</b:SourceType>
    <b:Guid>{268D2485-BE51-44C8-ABCC-A20AF935611B}</b:Guid>
    <b:Title>Currículo, Investigação e Mudança</b:Title>
    <b:Year>2006</b:Year>
    <b:City>Porto</b:City>
    <b:Publisher>Sociedade Portuguesa de Ciências da Educação.</b:Publisher>
    <b:BookTitle>A educação em Portugal (1986-2006) – Alguns contributos de investigação</b:BookTitle>
    <b:Author>
      <b:Author>
        <b:NameList>
          <b:Person>
            <b:Last>Pacheco</b:Last>
            <b:First>J.</b:First>
          </b:Person>
        </b:NameList>
      </b:Author>
      <b:BookAuthor>
        <b:NameList>
          <b:Person>
            <b:Last>Lima</b:Last>
            <b:First>L.</b:First>
          </b:Person>
          <b:Person>
            <b:Last>Pacheco</b:Last>
            <b:First>J.</b:First>
          </b:Person>
          <b:Person>
            <b:Last>Esteves</b:Last>
            <b:First>M.</b:First>
          </b:Person>
          <b:Person>
            <b:Last>Canário</b:Last>
            <b:First>R.</b:First>
          </b:Person>
        </b:NameList>
      </b:BookAuthor>
    </b:Author>
    <b:RefOrder>23</b:RefOrder>
  </b:Source>
  <b:Source>
    <b:Tag>Oli12</b:Tag>
    <b:SourceType>Report</b:SourceType>
    <b:Guid>{7B183143-458E-48E1-98E5-F6CDF4ECF167}</b:Guid>
    <b:Title>Economia Social, Pilar de um Novo Modelo de Desenvolvimento Económico Sustentável</b:Title>
    <b:Year>2012</b:Year>
    <b:Author>
      <b:Author>
        <b:NameList>
          <b:Person>
            <b:Last>Oliveira</b:Last>
            <b:First>Ilda</b:First>
          </b:Person>
        </b:NameList>
      </b:Author>
    </b:Author>
    <b:City>Dissertação de Mestrado, Instituto Superior de Contabilidade e Administração do Porto, Porto</b:City>
    <b:RefOrder>24</b:RefOrder>
  </b:Source>
  <b:Source>
    <b:Tag>Nam13</b:Tag>
    <b:SourceType>Book</b:SourceType>
    <b:Guid>{EAB392E0-E97D-455F-BF9A-0CC7BD61BE16}</b:Guid>
    <b:Title>O Essêncial Sobre Cooperativas</b:Title>
    <b:Year>2013</b:Year>
    <b:City>Lisboa</b:City>
    <b:Publisher>Imprensa Nacional Casa da Moeda</b:Publisher>
    <b:Author>
      <b:Author>
        <b:NameList>
          <b:Person>
            <b:Last>Namorado</b:Last>
            <b:First>Rui</b:First>
          </b:Person>
        </b:NameList>
      </b:Author>
    </b:Author>
    <b:RefOrder>25</b:RefOrder>
  </b:Source>
  <b:Source>
    <b:Tag>Mon08</b:Tag>
    <b:SourceType>DocumentFromInternetSite</b:SourceType>
    <b:Guid>{EB142101-D37F-4776-BACB-046025E53E3A}</b:Guid>
    <b:Title>A Economia Social na União Europeia</b:Title>
    <b:Year>2008</b:Year>
    <b:InternetSiteTitle>Comité Económico e Social Europeu</b:InternetSiteTitle>
    <b:Author>
      <b:Author>
        <b:NameList>
          <b:Person>
            <b:Last>Monzón</b:Last>
            <b:Middle>Luís</b:Middle>
            <b:First>José</b:First>
          </b:Person>
          <b:Person>
            <b:Last>Chaves</b:Last>
            <b:First>Rafael</b:First>
          </b:Person>
        </b:NameList>
      </b:Author>
    </b:Author>
    <b:URL>Acedido em 29 de outubro de 2016, disponível em: http://www.eesc.europa.eu/resources/docs/a_ces11042-2012_00_00_tra_etu_pt.pdf</b:URL>
    <b:RefOrder>26</b:RefOrder>
  </b:Source>
  <b:Source>
    <b:Tag>Mes14</b:Tag>
    <b:SourceType>ArticleInAPeriodical</b:SourceType>
    <b:Guid>{710805F5-72FA-4637-9F77-CFB28C14B012}</b:Guid>
    <b:Title>A Tutela das Misericórdias e o Âmbito das Jurisdições Eclesiásticas e do Estado</b:Title>
    <b:PeriodicalTitle>Julgar, n.º 23</b:PeriodicalTitle>
    <b:Year>2014</b:Year>
    <b:Pages>107-139</b:Pages>
    <b:Author>
      <b:Author>
        <b:NameList>
          <b:Person>
            <b:Last>Mesquita</b:Last>
            <b:Middle>Dá</b:Middle>
            <b:First>Paulo</b:First>
          </b:Person>
        </b:NameList>
      </b:Author>
    </b:Author>
    <b:RefOrder>27</b:RefOrder>
  </b:Source>
  <b:Source>
    <b:Tag>Mei09</b:Tag>
    <b:SourceType>Book</b:SourceType>
    <b:Guid>{1F61B022-A1CA-47B8-BF75-9BB105AFF5B2}</b:Guid>
    <b:Title>O Regime Económico das Cooperativas no Direito Português: O Capital Social</b:Title>
    <b:Year>2009</b:Year>
    <b:City>Porto</b:City>
    <b:Publisher>Vida Económica</b:Publisher>
    <b:Author>
      <b:Author>
        <b:NameList>
          <b:Person>
            <b:Last>Meira</b:Last>
            <b:Middle>Aparício</b:Middle>
            <b:First>Deolinda</b:First>
          </b:Person>
        </b:NameList>
      </b:Author>
    </b:Author>
    <b:RefOrder>28</b:RefOrder>
  </b:Source>
  <b:Source>
    <b:Tag>Mei15</b:Tag>
    <b:SourceType>ArticleInAPeriodical</b:SourceType>
    <b:Guid>{60693C4A-D094-4708-915D-DF7035682D02}</b:Guid>
    <b:Title>As Alterações ao Regime Jurídico das Farmácias de Oficina. Anotação ao Decreto-Lei n.º 109/2014, de 10 de julho</b:Title>
    <b:Year>2015</b:Year>
    <b:PeriodicalTitle>Cooperativismo e Economía Social</b:PeriodicalTitle>
    <b:Pages>357-367</b:Pages>
    <b:Author>
      <b:Author>
        <b:NameList>
          <b:Person>
            <b:Last>Meira</b:Last>
            <b:Middle>Aparício</b:Middle>
            <b:First>Deolinda</b:First>
          </b:Person>
        </b:NameList>
      </b:Author>
    </b:Author>
    <b:RefOrder>29</b:RefOrder>
  </b:Source>
  <b:Source>
    <b:Tag>Mei13</b:Tag>
    <b:SourceType>ArticleInAPeriodical</b:SourceType>
    <b:Guid>{7B6DFF9E-75F8-4B99-AF06-C3B673F7FB2C}</b:Guid>
    <b:Title>A Lei de Bases da Economia Social Portuguesa: do projeto ao texto final.</b:Title>
    <b:Year>2013</b:Year>
    <b:PeriodicalTitle>CIRIEC-España, revista jurídica de economia social y cooperativa, n.º 24</b:PeriodicalTitle>
    <b:Pages>1-32</b:Pages>
    <b:Author>
      <b:Author>
        <b:NameList>
          <b:Person>
            <b:Last>Meira</b:Last>
            <b:Middle>Aparício</b:Middle>
            <b:First>Deolinda</b:First>
          </b:Person>
        </b:NameList>
      </b:Author>
    </b:Author>
    <b:JournalName>CIRIEC-España, revista jurídica de economia social y cooperativa, n.º 24</b:JournalName>
    <b:RefOrder>30</b:RefOrder>
  </b:Source>
  <b:Source>
    <b:Tag>Mar</b:Tag>
    <b:SourceType>Book</b:SourceType>
    <b:Guid>{097DEC60-68FE-4FE9-A071-DFD8A2397DA6}</b:Guid>
    <b:Author>
      <b:Author>
        <b:NameList>
          <b:Person>
            <b:Last>Martins</b:Last>
            <b:Middle>Zenha</b:Middle>
            <b:First>João</b:First>
          </b:Person>
        </b:NameList>
      </b:Author>
    </b:Author>
    <b:Title>Das Associações sem Personalidade Jurídica</b:Title>
    <b:Year>2016</b:Year>
    <b:City>Coimbra</b:City>
    <b:Publisher>Almedina</b:Publisher>
    <b:RefOrder>31</b:RefOrder>
  </b:Source>
  <b:Source>
    <b:Tag>Mad13</b:Tag>
    <b:SourceType>ArticleInAPeriodical</b:SourceType>
    <b:Guid>{9A177CB8-B0E6-4009-A542-E9C497BD0427}</b:Guid>
    <b:Title>Breve Introdução ao Estudo das Leis Canónicas</b:Title>
    <b:Year>2013</b:Year>
    <b:PeriodicalTitle>Gaudium Sciendi</b:PeriodicalTitle>
    <b:Pages>69-99</b:Pages>
    <b:Author>
      <b:Author>
        <b:NameList>
          <b:Person>
            <b:Last>Madaleno</b:Last>
            <b:First>Aurora</b:First>
          </b:Person>
        </b:NameList>
      </b:Author>
    </b:Author>
    <b:RefOrder>32</b:RefOrder>
  </b:Source>
  <b:Source>
    <b:Tag>Lop15</b:Tag>
    <b:SourceType>ArticleInAPeriodical</b:SourceType>
    <b:Guid>{A9A09209-4BDF-42C2-9509-691664A5A2B6}</b:Guid>
    <b:Title>Breves Nótulas Sobre o "Novo Estatuto" das Instituições Particulares de Solidarieadade Social no Direito Nacional e no Direito da União Europeia</b:Title>
    <b:PeriodicalTitle>Cooperativismo e Economía Social</b:PeriodicalTitle>
    <b:Year>2015</b:Year>
    <b:Pages>139-164</b:Pages>
    <b:Author>
      <b:Author>
        <b:NameList>
          <b:Person>
            <b:Last>Lopes</b:Last>
            <b:First>Licínio</b:First>
          </b:Person>
        </b:NameList>
      </b:Author>
    </b:Author>
    <b:RefOrder>33</b:RefOrder>
  </b:Source>
  <b:Source>
    <b:Tag>Mar09</b:Tag>
    <b:SourceType>Book</b:SourceType>
    <b:Guid>{9D994414-20B3-43C9-85FD-BFFFEEE372B4}</b:Guid>
    <b:Title>As Instituições Particulares de Solidariedade Social</b:Title>
    <b:Year>2009</b:Year>
    <b:City>Coimbra</b:City>
    <b:Publisher>Almedina</b:Publisher>
    <b:Author>
      <b:Author>
        <b:NameList>
          <b:Person>
            <b:Last>Lopes</b:Last>
            <b:First>Licínio</b:First>
          </b:Person>
        </b:NameList>
      </b:Author>
    </b:Author>
    <b:RefOrder>34</b:RefOrder>
  </b:Source>
  <b:Source>
    <b:Tag>Lei98</b:Tag>
    <b:SourceType>Book</b:SourceType>
    <b:Guid>{F9EE37E9-79F4-4431-AD5B-19F59408CFFA}</b:Guid>
    <b:Title>Enciclopédia Luso-Brasileira de Cultura - 4ª edição</b:Title>
    <b:Year>1998</b:Year>
    <b:City>Lisboa</b:City>
    <b:Publisher>Editorial Verbo</b:Publisher>
    <b:Author>
      <b:Author>
        <b:NameList>
          <b:Person>
            <b:Last>Leite</b:Last>
            <b:Middle>Pinto</b:Middle>
            <b:First>António</b:First>
          </b:Person>
        </b:NameList>
      </b:Author>
    </b:Author>
    <b:RefOrder>35</b:RefOrder>
  </b:Source>
  <b:Source>
    <b:Tag>Cód83</b:Tag>
    <b:SourceType>Book</b:SourceType>
    <b:Guid>{B450DE38-F8F0-4F5B-BC41-84EE98A76C05}</b:Guid>
    <b:PublicationTitle>Código de Direito Canónico</b:PublicationTitle>
    <b:Year>1983</b:Year>
    <b:City>Braga</b:City>
    <b:Publisher>Editorial Apostolado da Oração</b:Publisher>
    <b:Author>
      <b:Author>
        <b:NameList>
          <b:Person>
            <b:Last>Leite</b:Last>
            <b:First>António</b:First>
          </b:Person>
          <b:Person>
            <b:Last>Silva</b:Last>
            <b:Middle>Ferreira</b:Middle>
            <b:First>D. Serafim</b:First>
          </b:Person>
          <b:Person>
            <b:Last>Rodrigues</b:Last>
            <b:First>Samuel</b:First>
          </b:Person>
          <b:Person>
            <b:Last>Melícias</b:Last>
            <b:First>Vitor</b:First>
          </b:Person>
          <b:Person>
            <b:Last>Marques</b:Last>
            <b:First>Manuel</b:First>
          </b:Person>
        </b:NameList>
      </b:Author>
    </b:Author>
    <b:Title>Código de Direito Canónico</b:Title>
    <b:RefOrder>36</b:RefOrder>
  </b:Source>
  <b:Source>
    <b:Tag>Gra</b:Tag>
    <b:SourceType>JournalArticle</b:SourceType>
    <b:Guid>{EBA1194E-BEE8-4CE6-8A52-249C80CEFBF1}</b:Guid>
    <b:Title>NGOs, civil society and accountability: making the people accountable to capital</b:Title>
    <b:JournalName>Accounting, Auditing &amp; Accountability Journal, Vol. 19:3</b:JournalName>
    <b:Pages>319-348</b:Pages>
    <b:Author>
      <b:Author>
        <b:NameList>
          <b:Person>
            <b:Last>Gray</b:Last>
            <b:First>Rob</b:First>
          </b:Person>
          <b:Person>
            <b:Last>Bebbington</b:Last>
            <b:First>Jan</b:First>
          </b:Person>
          <b:Person>
            <b:Last>Collison</b:Last>
            <b:First>David</b:First>
          </b:Person>
        </b:NameList>
      </b:Author>
    </b:Author>
    <b:Year>2006</b:Year>
    <b:RefOrder>37</b:RefOrder>
  </b:Source>
  <b:Source>
    <b:Tag>Gra13</b:Tag>
    <b:SourceType>ArticleInAPeriodical</b:SourceType>
    <b:Guid>{3B87016A-8E60-4213-94EA-CD43EBDBA86F}</b:Guid>
    <b:Title>A Ideia de que a Economia Social é subsídio-dependente é um mito</b:Title>
    <b:Year>2013</b:Year>
    <b:PeriodicalTitle>Dirigir &amp; Formar, vol. 3</b:PeriodicalTitle>
    <b:Pages>9-12</b:Pages>
    <b:Author>
      <b:Author>
        <b:NameList>
          <b:Person>
            <b:Last>Graça</b:Last>
            <b:First>Eduardo</b:First>
          </b:Person>
        </b:NameList>
      </b:Author>
    </b:Author>
    <b:RefOrder>38</b:RefOrder>
  </b:Source>
  <b:Source>
    <b:Tag>Gom07</b:Tag>
    <b:SourceType>BookSection</b:SourceType>
    <b:Guid>{BDE8C80D-4A23-47F8-B28D-5AEAE1DD78AB}</b:Guid>
    <b:Title>As Pessoas Jurídicas Canónicas</b:Title>
    <b:BookTitle>Estudos sobre a Nova Concordata Santa Sé-República Portuguesa 18 de maio de 2004 - Atas das XIII Jornadas de Direito Canónico</b:BookTitle>
    <b:Year>2007</b:Year>
    <b:Pages>59-75</b:Pages>
    <b:City>Lisboa</b:City>
    <b:Publisher>Instituto Superior de Direito Canónico da Universidade Católica Portuguesa</b:Publisher>
    <b:Author>
      <b:Author>
        <b:NameList>
          <b:Person>
            <b:Last>Gomes</b:Last>
            <b:Middle>Saturnino Costa</b:Middle>
            <b:First>Manuel</b:First>
          </b:Person>
        </b:NameList>
      </b:Author>
    </b:Author>
    <b:RefOrder>39</b:RefOrder>
  </b:Source>
  <b:Source>
    <b:Tag>Gil08</b:Tag>
    <b:SourceType>Book</b:SourceType>
    <b:Guid>{3902642F-65BB-423E-B545-CC9B4D30F780}</b:Guid>
    <b:Title>Como elaborar projetos de pesquisa</b:Title>
    <b:Year>2008</b:Year>
    <b:City>São Paulo</b:City>
    <b:Publisher>Atlas</b:Publisher>
    <b:Author>
      <b:Author>
        <b:NameList>
          <b:Person>
            <b:Last>Gil</b:Last>
            <b:First>A.</b:First>
          </b:Person>
        </b:NameList>
      </b:Author>
    </b:Author>
    <b:RefOrder>40</b:RefOrder>
  </b:Source>
  <b:Source>
    <b:Tag>Gar16</b:Tag>
    <b:SourceType>Book</b:SourceType>
    <b:Guid>{112C5346-51AA-4BD0-A9B2-236350102F4C}</b:Guid>
    <b:Title>Uma História da Economia Social</b:Title>
    <b:Year>2016</b:Year>
    <b:City>Lisboa</b:City>
    <b:Publisher>Tinta da China</b:Publisher>
    <b:Author>
      <b:Author>
        <b:NameList>
          <b:Person>
            <b:Last>Garrido</b:Last>
            <b:First>Álvaro</b:First>
          </b:Person>
        </b:NameList>
      </b:Author>
    </b:Author>
    <b:RefOrder>41</b:RefOrder>
  </b:Source>
  <b:Source>
    <b:Tag>Fra07</b:Tag>
    <b:SourceType>Book</b:SourceType>
    <b:Guid>{4CC715E5-CC0F-4520-B586-4C469F0211A9}</b:Guid>
    <b:Title>Economia do Conhecimento e Organizações Sem Fins Lucrativos</b:Title>
    <b:Year>2007</b:Year>
    <b:City>Porto</b:City>
    <b:Publisher>Princípia Editora, Ld.ª</b:Publisher>
    <b:Author>
      <b:Author>
        <b:NameList>
          <b:Person>
            <b:Last>Franco</b:Last>
            <b:Middle>Campos</b:Middle>
            <b:First>Raquel</b:First>
          </b:Person>
          <b:Person>
            <b:Last>Andrade</b:Last>
            <b:Middle>Manuel</b:Middle>
            <b:First>António</b:First>
          </b:Person>
        </b:NameList>
      </b:Author>
    </b:Author>
    <b:RefOrder>42</b:RefOrder>
  </b:Source>
  <b:Source>
    <b:Tag>Fra71</b:Tag>
    <b:SourceType>ArticleInAPeriodical</b:SourceType>
    <b:Guid>{8C97EE5E-283E-48C3-B45F-098FF0E4BFE6}</b:Guid>
    <b:Title>Observações Sobre o Princípio da Reserva Legal</b:Title>
    <b:Year>1971</b:Year>
    <b:PeriodicalTitle>Revista de Direito Penal, n.º 1</b:PeriodicalTitle>
    <b:Pages>1-12</b:Pages>
    <b:Author>
      <b:Author>
        <b:NameList>
          <b:Person>
            <b:Last>Fragoso</b:Last>
            <b:Middle>Cláudio</b:Middle>
            <b:First>Heleno</b:First>
          </b:Person>
        </b:NameList>
      </b:Author>
    </b:Author>
    <b:RefOrder>43</b:RefOrder>
  </b:Source>
  <b:Source>
    <b:Tag>Fer03</b:Tag>
    <b:SourceType>BookSection</b:SourceType>
    <b:Guid>{DB22A186-4FEC-4779-A065-EF4F57A95834}</b:Guid>
    <b:Title>Bens Eclesiásticos/Fábrica da Igreja</b:Title>
    <b:Year>2003</b:Year>
    <b:City>Lisboa</b:City>
    <b:Publisher>Centro de Estudos de Direiro Canónico da Universidade Católica Portuguesa</b:Publisher>
    <b:BookTitle>A Paróquia Comunidade de Fiéis - Atas das XI Jornadas de Direito Canónico</b:BookTitle>
    <b:Pages>91-133</b:Pages>
    <b:Author>
      <b:Author>
        <b:NameList>
          <b:Person>
            <b:Last>Ferreira</b:Last>
            <b:Middle>Pires</b:Middle>
            <b:First>Sebastião</b:First>
          </b:Person>
        </b:NameList>
      </b:Author>
    </b:Author>
    <b:RefOrder>44</b:RefOrder>
  </b:Source>
  <b:Source>
    <b:Tag>Fer12</b:Tag>
    <b:SourceType>Report</b:SourceType>
    <b:Guid>{1CC11929-6F04-4F40-92B6-04D1BD8E4B9C}</b:Guid>
    <b:Title>Entidades do Setor Não Lucrativo: Comparação entre Portugal e Espanha </b:Title>
    <b:Year>2012</b:Year>
    <b:City>Dissertação de Mestrado, Instituto Superior de Contabilidade e Administração de Aveiro, Aveiro</b:City>
    <b:Author>
      <b:Author>
        <b:NameList>
          <b:Person>
            <b:Last>Ferreira</b:Last>
            <b:First>Andreia</b:First>
          </b:Person>
        </b:NameList>
      </b:Author>
    </b:Author>
    <b:RefOrder>45</b:RefOrder>
  </b:Source>
  <b:Source>
    <b:Tag>Enc</b:Tag>
    <b:SourceType>Book</b:SourceType>
    <b:Guid>{F1CD4646-E6FF-49DB-BF7E-7892D3004BF2}</b:Guid>
    <b:Title>Enciclopédia Católica Popular</b:Title>
    <b:Year>2004</b:Year>
    <b:City>Prior Velho</b:City>
    <b:Publisher>Paulinas Editora</b:Publisher>
    <b:Author>
      <b:Author>
        <b:NameList>
          <b:Person>
            <b:Last>Falcão</b:Last>
            <b:Middle>Franco</b:Middle>
            <b:First>Manuel</b:First>
          </b:Person>
        </b:NameList>
      </b:Author>
    </b:Author>
    <b:RefOrder>46</b:RefOrder>
  </b:Source>
  <b:Source>
    <b:Tag>Cos91</b:Tag>
    <b:SourceType>Book</b:SourceType>
    <b:Guid>{C090B18A-F645-4206-ABD1-4A8C2BB4EE3E}</b:Guid>
    <b:Title>Contributo Português na Ideação de uma Economia Social</b:Title>
    <b:Year>1991</b:Year>
    <b:Author>
      <b:Author>
        <b:NameList>
          <b:Person>
            <b:Last>Costa</b:Last>
            <b:Middle>Ferreira</b:Middle>
            <b:First>Fernando</b:First>
          </b:Person>
        </b:NameList>
      </b:Author>
    </b:Author>
    <b:City>Lisboa</b:City>
    <b:Publisher>Instituto António Sérgio do Sector Cooperativo</b:Publisher>
    <b:RefOrder>47</b:RefOrder>
  </b:Source>
  <b:Source>
    <b:Tag>Cos11</b:Tag>
    <b:SourceType>Report</b:SourceType>
    <b:Guid>{05BFE2C8-DE81-4D97-AFBB-E637B1003C0C}</b:Guid>
    <b:Title>A Accountability nas Organizações sem Fins Lucrativos: O caso particular de algumas Fundações em Portugal</b:Title>
    <b:Year>2011</b:Year>
    <b:City>Dissertação de Mestrado, ISCTE Business School - Instituto Universitário de Lisboa, Lisboa</b:City>
    <b:Author>
      <b:Author>
        <b:NameList>
          <b:Person>
            <b:Last>Costa</b:Last>
            <b:Middle>Lúcia</b:Middle>
            <b:First>Ana </b:First>
          </b:Person>
        </b:NameList>
      </b:Author>
    </b:Author>
    <b:RefOrder>48</b:RefOrder>
  </b:Source>
  <b:Source>
    <b:Tag>Car03</b:Tag>
    <b:SourceType>Book</b:SourceType>
    <b:Guid>{FB3B76C5-CF5F-4C09-A26C-0974B9A92454}</b:Guid>
    <b:Title>Elementos de Gestão para o Terceiro Setor</b:Title>
    <b:Year>2003</b:Year>
    <b:Publisher>Universidade Aberta</b:Publisher>
    <b:City>Lisboa</b:City>
    <b:Author>
      <b:Author>
        <b:NameList>
          <b:Person>
            <b:Last>Carvalho</b:Last>
            <b:First>José</b:First>
          </b:Person>
        </b:NameList>
      </b:Author>
    </b:Author>
    <b:RefOrder>49</b:RefOrder>
  </b:Source>
  <b:Source>
    <b:Tag>Car16</b:Tag>
    <b:SourceType>Report</b:SourceType>
    <b:Guid>{6BC969E1-C203-4CD5-A4CE-9DF9C7D5A1AF}</b:Guid>
    <b:Title>Transparência na Prestação de Contas das Fundações: abordagem teórica e empírica</b:Title>
    <b:Year>2016</b:Year>
    <b:PublicationTitle>Tese de doutoramento</b:PublicationTitle>
    <b:City>Tese de Doutoramento, Faculdade de Economia de Universidade do Porto, Porto</b:City>
    <b:Author>
      <b:Author>
        <b:NameList>
          <b:Person>
            <b:Last>Carvalho</b:Last>
            <b:Middle>Oliveira</b:Middle>
            <b:First>Amélia</b:First>
          </b:Person>
        </b:NameList>
      </b:Author>
    </b:Author>
    <b:RefOrder>50</b:RefOrder>
  </b:Source>
  <b:Source>
    <b:Tag>Bog94</b:Tag>
    <b:SourceType>Book</b:SourceType>
    <b:Guid>{87B158E8-F313-47AA-9202-D754EA7988EE}</b:Guid>
    <b:Title>Investigação Qualitativa em Educação - Uma Introdução à Teoria e aos Métodos</b:Title>
    <b:Year>1994</b:Year>
    <b:City>Porto</b:City>
    <b:Publisher>Porto Editora</b:Publisher>
    <b:Author>
      <b:Author>
        <b:NameList>
          <b:Person>
            <b:Last>Bogdan</b:Last>
            <b:First>Robert</b:First>
          </b:Person>
          <b:Person>
            <b:Last>Biklen</b:Last>
            <b:First>Sari</b:First>
          </b:Person>
        </b:NameList>
      </b:Author>
    </b:Author>
    <b:RefOrder>51</b:RefOrder>
  </b:Source>
  <b:Source>
    <b:Tag>Ben08</b:Tag>
    <b:SourceType>JournalArticle</b:SourceType>
    <b:Guid>{9DB2A07D-97D8-499C-AA85-C93C34BBBDB0}</b:Guid>
    <b:Title>Account space: How accountability requirements shape nonprofit practice</b:Title>
    <b:JournalName>Nonprofit and Voluntary Sector Quarterly, Vol. 37 (2)</b:JournalName>
    <b:Year>2008</b:Year>
    <b:Pages>201-223</b:Pages>
    <b:Author>
      <b:Author>
        <b:NameList>
          <b:Person>
            <b:Last>Benjamin</b:Last>
            <b:Middle>M.</b:Middle>
            <b:First>Lehn </b:First>
          </b:Person>
        </b:NameList>
      </b:Author>
    </b:Author>
    <b:RefOrder>52</b:RefOrder>
  </b:Source>
  <b:Source>
    <b:Tag>Bel93</b:Tag>
    <b:SourceType>Book</b:SourceType>
    <b:Guid>{D5FD7440-2167-415E-8048-2C9D787656D9}</b:Guid>
    <b:Title>Como realizar um projeto de investigação, 3.ª Ed.</b:Title>
    <b:Year>1993</b:Year>
    <b:City>Lisboa</b:City>
    <b:Publisher>Gradiva</b:Publisher>
    <b:Author>
      <b:Author>
        <b:NameList>
          <b:Person>
            <b:Last>Bell</b:Last>
            <b:First>J.</b:First>
          </b:Person>
        </b:NameList>
      </b:Author>
    </b:Author>
    <b:RefOrder>53</b:RefOrder>
  </b:Source>
  <b:Source>
    <b:Tag>Bap16</b:Tag>
    <b:SourceType>Book</b:SourceType>
    <b:Guid>{2F50A2EE-6F4F-4A04-8795-65ED8B9895F0}</b:Guid>
    <b:Title>As Fundações no Direito Português, 2.ª Ed.</b:Title>
    <b:Year>2016</b:Year>
    <b:City>Coimbra</b:City>
    <b:Publisher>Almedina</b:Publisher>
    <b:Author>
      <b:Author>
        <b:NameList>
          <b:Person>
            <b:Last>Baptista</b:Last>
            <b:Middle>Casal</b:Middle>
            <b:First>Cristina</b:First>
          </b:Person>
        </b:NameList>
      </b:Author>
    </b:Author>
    <b:RefOrder>54</b:RefOrder>
  </b:Source>
  <b:Source>
    <b:Tag>Ban13</b:Tag>
    <b:SourceType>ArticleInAPeriodical</b:SourceType>
    <b:Guid>{1DCC1F5C-FA1D-4D90-9140-E9F834875CDD}</b:Guid>
    <b:Title>O Regime de Normalização Contabilística Português para as Empresas do Setor Não Lucrativo - SNC-ESNL- e as suas especificidades relativamente ao relato financeiro</b:Title>
    <b:Year>2013</b:Year>
    <b:PeriodicalTitle>Revista sobre Cooperativismo e Economía Social, n.º 35</b:PeriodicalTitle>
    <b:Pages>223-230</b:Pages>
    <b:Author>
      <b:Author>
        <b:NameList>
          <b:Person>
            <b:Last>Bandeira</b:Last>
            <b:Middle>Maria</b:Middle>
            <b:First>Ana </b:First>
          </b:Person>
        </b:NameList>
      </b:Author>
    </b:Author>
    <b:RefOrder>55</b:RefOrder>
  </b:Source>
  <b:Source>
    <b:Tag>Ara12</b:Tag>
    <b:SourceType>Book</b:SourceType>
    <b:Guid>{390D2CF4-9592-4475-9B44-9307639034E8}</b:Guid>
    <b:Title>Manual de Prestação de Contas nas Entidades do Setor Não Lucrativo</b:Title>
    <b:Year>2012</b:Year>
    <b:City>Porto</b:City>
    <b:Publisher>Vida Económica - Editorial, S.A.</b:Publisher>
    <b:Author>
      <b:Author>
        <b:NameList>
          <b:Person>
            <b:Last>Araújo</b:Last>
            <b:Middle>Nuno</b:Middle>
            <b:First>Duarte</b:First>
          </b:Person>
          <b:Person>
            <b:Last>Cardoso</b:Last>
            <b:First>Patrícia</b:First>
          </b:Person>
          <b:Person>
            <b:Last>Novais</b:Last>
            <b:First>José</b:First>
          </b:Person>
        </b:NameList>
      </b:Author>
    </b:Author>
    <b:RefOrder>56</b:RefOrder>
  </b:Source>
  <b:Source>
    <b:Tag>Ant12</b:Tag>
    <b:SourceType>Book</b:SourceType>
    <b:Guid>{33D921F7-E72A-4EFD-9DF5-004F27B4100E}</b:Guid>
    <b:Title>Novo Regime da Normalização Contabilística para as Entidades do Setor não Lucrativo</b:Title>
    <b:Year>2012</b:Year>
    <b:City>Lisboa</b:City>
    <b:Publisher>Áreas Editora</b:Publisher>
    <b:Author>
      <b:Author>
        <b:NameList>
          <b:Person>
            <b:Last>Antão</b:Last>
            <b:Middle>Azevedo</b:Middle>
            <b:First>Avelino</b:First>
          </b:Person>
          <b:Person>
            <b:Last>Tavares</b:Last>
            <b:First>Armando</b:First>
          </b:Person>
          <b:Person>
            <b:Last>Marques</b:Last>
            <b:Middle>Paulo</b:Middle>
            <b:First>João</b:First>
          </b:Person>
          <b:Person>
            <b:Last>Alves</b:Last>
            <b:First>Sandra</b:First>
          </b:Person>
        </b:NameList>
      </b:Author>
    </b:Author>
    <b:RefOrder>57</b:RefOrder>
  </b:Source>
  <b:Source>
    <b:Tag>Res04</b:Tag>
    <b:SourceType>Misc</b:SourceType>
    <b:Guid>{C6D762B0-9768-4A26-AC87-2D49C5B66D9E}</b:Guid>
    <b:Title>Resolução da Assembleia da República n.º 74/2004, que aprova, para ratificação, a Concordata entre a República Portuguesa e a Santa Sé assinada em 18 de maio de 2004 na cidade do Vaticano</b:Title>
    <b:RefOrder>58</b:RefOrder>
  </b:Source>
  <b:Source>
    <b:Tag>Reg09</b:Tag>
    <b:SourceType>DocumentFromInternetSite</b:SourceType>
    <b:Guid>{27A683B4-4190-47FB-AE9D-97BDA191652D}</b:Guid>
    <b:Title>Regulamento da Administração dos Bens da Igreja na Diocese de Leiria-Fátima</b:Title>
    <b:InternetSiteTitle>Diocese de Leiria-Fátima</b:InternetSiteTitle>
    <b:Year>2009</b:Year>
    <b:URL>Acedido em 18 de junho de 2016, disponível em: http://www.leiria-fatima.pt/</b:URL>
    <b:RefOrder>59</b:RefOrder>
  </b:Source>
  <b:Source>
    <b:Tag>Por1</b:Tag>
    <b:SourceType>Misc</b:SourceType>
    <b:Guid>{D7CEB1C0-9730-42CE-BC41-09BA6071EBB5}</b:Guid>
    <b:Title>Portaria n.º 220/2015, de 24 de julho, que aprova os modelos de demonstrações financeiras para as diferentes entidades que aplicam o SNC</b:Title>
    <b:RefOrder>60</b:RefOrder>
  </b:Source>
  <b:Source>
    <b:Tag>Por2</b:Tag>
    <b:SourceType>Misc</b:SourceType>
    <b:Guid>{AD209D03-6C72-4946-87EA-D694321E669C}</b:Guid>
    <b:Title>Portaria n.º 218/2015, de 23 de julho, que aprova o Código de Contas</b:Title>
    <b:RefOrder>61</b:RefOrder>
  </b:Source>
  <b:Source>
    <b:Tag>Por</b:Tag>
    <b:SourceType>Misc</b:SourceType>
    <b:Guid>{F9876EE1-0CE0-4172-B0CF-B4A5B40E58EE}</b:Guid>
    <b:Title>Portaria n.º 135/2007, de 26 de janeiro, que aprova o Regulamento de Registo das Associações Mutualistas e das Fundações de Segurança Social Complementar</b:Title>
    <b:RefOrder>62</b:RefOrder>
  </b:Source>
  <b:Source>
    <b:Tag>Par</b:Tag>
    <b:SourceType>InternetSite</b:SourceType>
    <b:Guid>{CDC6ED5A-19E8-4E05-A359-BEEFC869A2D4}</b:Guid>
    <b:Title>Paróquia de Nossa Senhora da Hora</b:Title>
    <b:URL>Acedido em 18 de junho de 2016, disponível em: http://www.paroquiasenhoradahora.pt/</b:URL>
    <b:RefOrder>63</b:RefOrder>
  </b:Source>
  <b:Source>
    <b:Tag>Lei4</b:Tag>
    <b:SourceType>Misc</b:SourceType>
    <b:Guid>{D6BEB7DF-DB50-4DA4-B3C3-1A0A4090101B}</b:Guid>
    <b:Title>Lei n.º 65/78, que aprova, para ratificação, a Convenção Europeia dos Direitos do Homem</b:Title>
    <b:RefOrder>64</b:RefOrder>
  </b:Source>
  <b:Source>
    <b:Tag>Lei2</b:Tag>
    <b:SourceType>Misc</b:SourceType>
    <b:Guid>{D057C777-4ABB-4449-97AB-E660AF6DB9E3}</b:Guid>
    <b:Title>Lei n.º 51/96, de 7 de setembro, que aprova o Código Cooperativo</b:Title>
    <b:RefOrder>65</b:RefOrder>
  </b:Source>
  <b:Source>
    <b:Tag>Lei</b:Tag>
    <b:SourceType>Misc</b:SourceType>
    <b:Guid>{9EB54BC5-68C0-43A1-B7DA-CD93751A2690}</b:Guid>
    <b:Title>Lei n.º 30/2013, de 8 de maio, que aprova a Lei de Bases da Economia Social.</b:Title>
    <b:RefOrder>66</b:RefOrder>
  </b:Source>
  <b:Source>
    <b:Tag>Lei1</b:Tag>
    <b:SourceType>Misc</b:SourceType>
    <b:Guid>{A571328F-3399-44A8-8718-8AE0EDBAFCCA}</b:Guid>
    <b:Title>Lei n.º 24/2012, de 9 de julho, que aprova a Lei-Quadro das Fundações</b:Title>
    <b:RefOrder>67</b:RefOrder>
  </b:Source>
  <b:Source>
    <b:Tag>Lei3</b:Tag>
    <b:SourceType>Misc</b:SourceType>
    <b:Guid>{B5317A44-15AD-492D-89A3-4B96FA59E319}</b:Guid>
    <b:Title>Lei n.º 16/2001, de 22 de junho, que aprova a Lei de Liberdade Religiosa</b:Title>
    <b:RefOrder>68</b:RefOrder>
  </b:Source>
  <b:Source>
    <b:Tag>Dec12</b:Tag>
    <b:SourceType>Misc</b:SourceType>
    <b:Guid>{54921B44-2A86-4379-A56E-0C5BAE9C958D}</b:Guid>
    <b:Title>Lei n.º 119/2015, de 31 de agosto, que aprova o Código Cooperativo e revoga a Lei n.º 51/96 de 7 de setembro</b:Title>
    <b:RefOrder>69</b:RefOrder>
  </b:Source>
  <b:Source>
    <b:Tag>Leg12</b:Tag>
    <b:SourceType>DocumentFromInternetSite</b:SourceType>
    <b:Guid>{AE03CAC8-A4CF-4E7E-8FF0-948B3CC963E0}</b:Guid>
    <b:Title>Legislação para a Administração dos Bens Temporais da Igreja na Diocese de Viana do Castelo</b:Title>
    <b:InternetSiteTitle>Diocese de Viana do Castelo</b:InternetSiteTitle>
    <b:Year>2012</b:Year>
    <b:URL>Acedido em 18 de junho de 2016, disponível em: http://www.diocesedeviana.pt/</b:URL>
    <b:RefOrder>70</b:RefOrder>
  </b:Source>
  <b:Source>
    <b:Tag>Ins13</b:Tag>
    <b:SourceType>Misc</b:SourceType>
    <b:Guid>{43ABDDC5-DF69-408C-9266-7DC9B3A9A754}</b:Guid>
    <b:Title>INE: Instituto Nacional de Estatística</b:Title>
    <b:Year>2013</b:Year>
    <b:InternetSiteTitle>Instituto Nacional de Estatística</b:InternetSiteTitle>
    <b:PublicationTitle>Conta Satélite da Economia Social 2010</b:PublicationTitle>
    <b:Publisher>Acedido em 30 de novembro de 2015, disponível em:https://www.ine.pt/xportal/xmain?xpid=INE&amp;xpgid=ine_publicacoes&amp;PUBLICACOESpub_boui=157543613&amp;PUBLICACOESmodo=2</b:Publisher>
    <b:RefOrder>71</b:RefOrder>
  </b:Source>
  <b:Source>
    <b:Tag>INE</b:Tag>
    <b:SourceType>Misc</b:SourceType>
    <b:Guid>{53E73C5E-BAE6-40A9-B1D7-0A27286020CE}</b:Guid>
    <b:Title>INE: Instituto Nacional de Estatística</b:Title>
    <b:PublicationTitle>População residente com 15 e mais anos de idade (N.º) por Local de residência (à data dos Censos 2011) e Religião</b:PublicationTitle>
    <b:Publisher>Acedido em 22 de julho de 2016, disponível em: https://www.ine.pt/xportal/xmain?xpid=INE&amp;xpgid=ine_indicadores&amp;indOcorrCod=0006396&amp;contexto=bd&amp;selTab=tab2</b:Publisher>
    <b:Year>2011</b:Year>
    <b:RefOrder>72</b:RefOrder>
  </b:Source>
  <b:Source>
    <b:Tag>Eva1</b:Tag>
    <b:SourceType>BookSection</b:SourceType>
    <b:Guid>{2E762FF0-5E12-49C6-96D4-A5B38C79662A}</b:Guid>
    <b:Title>Evangelho de São Mateus (2009b)</b:Title>
    <b:BookTitle>Bíblia Sagrada</b:BookTitle>
    <b:City>Lisboa</b:City>
    <b:Publisher>Difusora Bíblica</b:Publisher>
    <b:Pages>1612, 25:14-19</b:Pages>
    <b:RefOrder>73</b:RefOrder>
  </b:Source>
  <b:Source>
    <b:Tag>Eva</b:Tag>
    <b:SourceType>BookSection</b:SourceType>
    <b:Guid>{EBEFC4A3-FEF8-45AB-AE7A-F7F317EC8419}</b:Guid>
    <b:Title>Evangelho de São Mateus (2009a)</b:Title>
    <b:BookTitle>Bíblia Sagrada</b:BookTitle>
    <b:Pages>1595, 16:18</b:Pages>
    <b:City>Lisboa</b:City>
    <b:Publisher>Difusora Bíblica</b:Publisher>
    <b:RefOrder>74</b:RefOrder>
  </b:Source>
  <b:Source>
    <b:Tag>Est12</b:Tag>
    <b:SourceType>DocumentFromInternetSite</b:SourceType>
    <b:Guid>{06B6A651-F4BB-446E-945B-DB7E3D7085B6}</b:Guid>
    <b:Title>Estatutos do Conselho Paroquial de Assuntos Económicos</b:Title>
    <b:InternetSiteTitle>Diocese de Bragança-Miranda</b:InternetSiteTitle>
    <b:Year>2012</b:Year>
    <b:URL>Acedido em 18 de junho de 2016, disponível em: http://diocesebm.pt/</b:URL>
    <b:RefOrder>75</b:RefOrder>
  </b:Source>
  <b:Source>
    <b:Tag>Est</b:Tag>
    <b:SourceType>DocumentFromInternetSite</b:SourceType>
    <b:Guid>{1CC16F47-A64E-441F-9E3B-943E82783C81}</b:Guid>
    <b:Title>Estatutos do Conselho Económico Paroquial</b:Title>
    <b:InternetSiteTitle>Diocese de Coimbra</b:InternetSiteTitle>
    <b:URL>Acedido em 18 de junho de 2016, disponível em: http://www.diocesedecoimbra.pt/</b:URL>
    <b:Year>1990</b:Year>
    <b:RefOrder>76</b:RefOrder>
  </b:Source>
  <b:Source>
    <b:Tag>Est13</b:Tag>
    <b:SourceType>DocumentFromInternetSite</b:SourceType>
    <b:Guid>{BDB8146F-8888-495C-8049-265F9F95D61A}</b:Guid>
    <b:Title>Estatutos Diocesanos para Administração das Paróquias</b:Title>
    <b:InternetSiteTitle>Diocese de Portalegre-Castelo Branco</b:InternetSiteTitle>
    <b:Year>2013</b:Year>
    <b:URL>Acedido em 18 de junho de 2016, disponível em: http://www.portalegre-castelobranco.pt/</b:URL>
    <b:RefOrder>77</b:RefOrder>
  </b:Source>
  <b:Source>
    <b:Tag>Est121</b:Tag>
    <b:SourceType>DocumentFromInternetSite</b:SourceType>
    <b:Guid>{DFE227B9-0B11-49FD-8C73-C87267E609D6}</b:Guid>
    <b:Title>Estatuto do Conselho Paroquial para os Assuntos Económicos</b:Title>
    <b:InternetSiteTitle>Diocese do Porto</b:InternetSiteTitle>
    <b:Year>2012</b:Year>
    <b:URL>Acedido em 18 de junho de 2016, disponível em: http://www.diocese-porto.pt/</b:URL>
    <b:RefOrder>78</b:RefOrder>
  </b:Source>
  <b:Source>
    <b:Tag>Est07</b:Tag>
    <b:SourceType>DocumentFromInternetSite</b:SourceType>
    <b:Guid>{50C28875-EB3B-428B-9739-8FB58000D413}</b:Guid>
    <b:Title>Estatuto da Cúria</b:Title>
    <b:InternetSiteTitle>Diocese de Braga</b:InternetSiteTitle>
    <b:Year>2007</b:Year>
    <b:URL>Acedido em 18 de junho de 2016, disponível em: http://www.arquidiocese-braga.pt/</b:URL>
    <b:RefOrder>79</b:RefOrder>
  </b:Source>
  <b:Source>
    <b:Tag>Est1</b:Tag>
    <b:SourceType>DocumentFromInternetSite</b:SourceType>
    <b:Guid>{593CF982-EBA1-4B46-AC07-B308EB416B59}</b:Guid>
    <b:Title>Estatuto da Administração dos Bens Paroquiais</b:Title>
    <b:InternetSiteTitle>Diocese de Viseu</b:InternetSiteTitle>
    <b:URL>Acedido em 18 de junho de 2016, disponível em: http://www.diocesedeviseu.pt/site/</b:URL>
    <b:RefOrder>80</b:RefOrder>
  </b:Source>
  <b:Source>
    <b:Tag>Dio15</b:Tag>
    <b:SourceType>InternetSite</b:SourceType>
    <b:Guid>{05F22B06-401B-4C93-89D8-20FBBFC1183B}</b:Guid>
    <b:Title>Diocese do Porto</b:Title>
    <b:URL>Acedido em 18 de junho de 2016, disponível em: http://www.diocese-porto.pt/</b:URL>
    <b:RefOrder>81</b:RefOrder>
  </b:Source>
  <b:Source>
    <b:Tag>Dio9</b:Tag>
    <b:SourceType>InternetSite</b:SourceType>
    <b:Guid>{E12AE14C-B5C4-4F45-B7AE-E52F9C7C4D82}</b:Guid>
    <b:Title>Diocese do Funchal</b:Title>
    <b:URL>Acedido em 18 de junho de 2016, disponível em: http://www.diocesedofunchal.com/</b:URL>
    <b:RefOrder>82</b:RefOrder>
  </b:Source>
  <b:Source>
    <b:Tag>Dio1</b:Tag>
    <b:SourceType>InternetSite</b:SourceType>
    <b:Guid>{A908E15C-5CEF-4EF1-87F0-0B29BA3C3AFE}</b:Guid>
    <b:Title>Diocese do Algarve</b:Title>
    <b:URL>Acedido em 18 de junho de 2016, disponível em: http://diocese-algarve.pt/</b:URL>
    <b:RefOrder>83</b:RefOrder>
  </b:Source>
  <b:Source>
    <b:Tag>Dio20</b:Tag>
    <b:SourceType>InternetSite</b:SourceType>
    <b:Guid>{28B5CA61-912E-4F02-B818-19BB68A2098F}</b:Guid>
    <b:Title>Diocese de Viseu</b:Title>
    <b:URL>Acedido em 18 de junho de 2016, disponível em: http://www.diocesedeviseu.pt/site/</b:URL>
    <b:RefOrder>84</b:RefOrder>
  </b:Source>
  <b:Source>
    <b:Tag>Dio19</b:Tag>
    <b:SourceType>InternetSite</b:SourceType>
    <b:Guid>{0E604FE8-8FEE-44A2-8E3B-7AB0F3C0FFA7}</b:Guid>
    <b:Title>Diocese de Vila Real</b:Title>
    <b:URL>Acedido em 18 de junho de 2016, disponível em: http://www.diocese-vilareal.pt/</b:URL>
    <b:RefOrder>85</b:RefOrder>
  </b:Source>
  <b:Source>
    <b:Tag>Dio18</b:Tag>
    <b:SourceType>InternetSite</b:SourceType>
    <b:Guid>{AD718CE3-3D26-4FCB-A5FB-35418C501F9C}</b:Guid>
    <b:Title>Diocese de Viana do Castelo</b:Title>
    <b:URL>Acedido em 18 de junho de 2016, disponível em: http://www.diocesedeviana.pt/</b:URL>
    <b:RefOrder>86</b:RefOrder>
  </b:Source>
  <b:Source>
    <b:Tag>Dio17</b:Tag>
    <b:SourceType>InternetSite</b:SourceType>
    <b:Guid>{03C699F7-1A0A-473F-A3B2-0D580E1834CF}</b:Guid>
    <b:Title>Diocese de Setúbal</b:Title>
    <b:URL>Acedido em 18 de junho de 2016, disponível em: http://www.diocese-setubal.pt/</b:URL>
    <b:RefOrder>87</b:RefOrder>
  </b:Source>
  <b:Source>
    <b:Tag>Dio16</b:Tag>
    <b:SourceType>InternetSite</b:SourceType>
    <b:Guid>{97B9D5D8-3E7B-4579-B5A7-C7A4222B0B7A}</b:Guid>
    <b:Title>Diocese de Santarém</b:Title>
    <b:URL>Acedido em 18 de junho de 2016, disponível em: http://diocese-santarem.pt/</b:URL>
    <b:RefOrder>88</b:RefOrder>
  </b:Source>
  <b:Source>
    <b:Tag>Dio14</b:Tag>
    <b:SourceType>InternetSite</b:SourceType>
    <b:Guid>{9F6AB5E8-473F-4010-8CE1-A08C71485600}</b:Guid>
    <b:Title>Diocese de Portalegre-Castelo Branco</b:Title>
    <b:URL>Acedido em 18 de junho de 2016, disponível em: http://www.portalegre-castelobranco.pt/</b:URL>
    <b:RefOrder>89</b:RefOrder>
  </b:Source>
  <b:Source>
    <b:Tag>Dio13</b:Tag>
    <b:SourceType>InternetSite</b:SourceType>
    <b:Guid>{9826B311-32BE-446D-A3DA-12D6B50C1A3E}</b:Guid>
    <b:Title>Diocese de Lisboa</b:Title>
    <b:URL>Acedido em 18 de junho de 2016, disponível em: http://www.patriarcado-lisboa.pt/</b:URL>
    <b:RefOrder>90</b:RefOrder>
  </b:Source>
  <b:Source>
    <b:Tag>Dio12</b:Tag>
    <b:SourceType>InternetSite</b:SourceType>
    <b:Guid>{855E8B2C-5391-4F25-AAB7-90DB834ABAF4}</b:Guid>
    <b:Title>Diocese de Leiria-Fátima</b:Title>
    <b:URL>Acedido em 18 de junho de 2016, disponível em: http://www.leiria-fatima.pt/</b:URL>
    <b:RefOrder>91</b:RefOrder>
  </b:Source>
  <b:Source>
    <b:Tag>Dio11</b:Tag>
    <b:SourceType>InternetSite</b:SourceType>
    <b:Guid>{BC7A0493-07F5-4ACA-B106-5E326E87B0A8}</b:Guid>
    <b:Title>Diocese de Lamego</b:Title>
    <b:URL>Acedido em 18 de junho de 2016, disponível em: http://www.diocese-lamego.pt/</b:URL>
    <b:RefOrder>92</b:RefOrder>
  </b:Source>
  <b:Source>
    <b:Tag>Dio8</b:Tag>
    <b:SourceType>InternetSite</b:SourceType>
    <b:Guid>{0C2A8563-FDCD-4665-AC32-77BF6B10B901}</b:Guid>
    <b:Title>Diocese de Évora</b:Title>
    <b:URL>Acedido em 18 de junho de 2016, disponível em: http://dioceseevora.pt/</b:URL>
    <b:RefOrder>93</b:RefOrder>
  </b:Source>
  <b:Source>
    <b:Tag>Dio7</b:Tag>
    <b:SourceType>InternetSite</b:SourceType>
    <b:Guid>{058C959D-0F41-43FA-8005-EFA3DCBF4A20}</b:Guid>
    <b:Title>Diocese de Coimbra</b:Title>
    <b:URL>Acedido em 18 de junho de 2016, disponível em: http://www.diocesedecoimbra.pt/</b:URL>
    <b:RefOrder>94</b:RefOrder>
  </b:Source>
  <b:Source>
    <b:Tag>Dio6</b:Tag>
    <b:SourceType>InternetSite</b:SourceType>
    <b:Guid>{83B212C7-BF6A-4462-AF6E-D4A85ACF8B0D}</b:Guid>
    <b:Title>Diocese de Bragança-Miranda</b:Title>
    <b:URL>Acedido em 18 de junho de 2016, disponível em: http://diocesebm.pt/</b:URL>
    <b:RefOrder>95</b:RefOrder>
  </b:Source>
  <b:Source>
    <b:Tag>Dio5</b:Tag>
    <b:SourceType>InternetSite</b:SourceType>
    <b:Guid>{81C00730-A297-4FEA-B6A9-96BB2A434255}</b:Guid>
    <b:Title>Diocese de Braga</b:Title>
    <b:URL>Acedido em 18 de junho de 2016, disponível em: http://www.arquidiocese-braga.pt/</b:URL>
    <b:RefOrder>96</b:RefOrder>
  </b:Source>
  <b:Source>
    <b:Tag>Dio4</b:Tag>
    <b:SourceType>InternetSite</b:SourceType>
    <b:Guid>{8B86AC99-B1D1-43C1-8D2F-DAD73F6C9EEA}</b:Guid>
    <b:Title>Diocese de Beja</b:Title>
    <b:URL>Acedido em 18 de junho de 2016, disponível em: http://www.diocese-beja.pt/</b:URL>
    <b:RefOrder>97</b:RefOrder>
  </b:Source>
  <b:Source>
    <b:Tag>Dio3</b:Tag>
    <b:SourceType>InternetSite</b:SourceType>
    <b:Guid>{63B7DBE1-9433-4D8E-B4CF-2D96D5E64FE9}</b:Guid>
    <b:Title>Diocese de Aveiro</b:Title>
    <b:URL>Acedido em 18 de junho de 2016, disponível em: http://www.diocese-aveiro.pt/v2/</b:URL>
    <b:RefOrder>98</b:RefOrder>
  </b:Source>
  <b:Source>
    <b:Tag>Dio2</b:Tag>
    <b:SourceType>InternetSite</b:SourceType>
    <b:Guid>{0E5A8F64-8CCC-43BF-9E1C-5861F89AE762}</b:Guid>
    <b:Title>Diocese de Angra</b:Title>
    <b:URL>Acedido em 18 de junho de 2016, disponível em: http://www.diocesedeangra.pt/</b:URL>
    <b:RefOrder>99</b:RefOrder>
  </b:Source>
  <b:Source>
    <b:Tag>Dio</b:Tag>
    <b:SourceType>InternetSite</b:SourceType>
    <b:Guid>{D8AA30E4-EDDC-4656-AA5A-571B8705BAB6}</b:Guid>
    <b:Title>Diocese das Forças Armadas e das Forças de Segurança</b:Title>
    <b:URL>Acedido em 18 de junho de 2016, disponível em: http://ordinariato.castrense.pt/</b:URL>
    <b:RefOrder>100</b:RefOrder>
  </b:Source>
  <b:Source>
    <b:Tag>Dio10</b:Tag>
    <b:SourceType>InternetSite</b:SourceType>
    <b:Guid>{B32BC42C-32B1-4F9E-A36B-A5202EB7C46D}</b:Guid>
    <b:Title>Diocese da Guarda</b:Title>
    <b:URL>Acedido em 18 de junho de 2016, disponível em: http://www.diocesedaguarda.pt/</b:URL>
    <b:RefOrder>101</b:RefOrder>
  </b:Source>
  <b:Source>
    <b:Tag>Dec10</b:Tag>
    <b:SourceType>Misc</b:SourceType>
    <b:Guid>{2766CA41-E843-40AB-BAF9-12A6CD87FD6E}</b:Guid>
    <b:Title>Decreto-Lei n.º 98/2015, de 2 de junho, que transpõe a Diretiva n.º 2013/34/UE, do Parlamento Europeu e do Conselho, de 26 de junho de 2013</b:Title>
    <b:RefOrder>102</b:RefOrder>
  </b:Source>
  <b:Source>
    <b:Tag>Dec7</b:Tag>
    <b:SourceType>Misc</b:SourceType>
    <b:Guid>{CBC5A1CA-A348-4922-8783-6532867CA7D9}</b:Guid>
    <b:Title>Decreto-Lei n.º 78/89, de 3 de março, que aprova o Plano de Contas das Instituições Particulares de Solidariedade Social (PCIPSS)</b:Title>
    <b:RefOrder>103</b:RefOrder>
  </b:Source>
  <b:Source>
    <b:Tag>Dec6</b:Tag>
    <b:SourceType>Misc</b:SourceType>
    <b:Guid>{9D140433-6D37-4213-A2AA-02EACAD8E03F}</b:Guid>
    <b:Title>Decreto-Lei n.º 74/98, de 27 de março, que aprova o Plano Oficial de Contabilidade para as Federações Desportivas, Associações e Agrupamentos de Clubes (POCFAAC)</b:Title>
    <b:RefOrder>104</b:RefOrder>
  </b:Source>
  <b:Source>
    <b:Tag>Dec</b:Tag>
    <b:SourceType>Misc</b:SourceType>
    <b:Guid>{E44C79D6-625A-478A-B6F4-6F08A0FF4714}</b:Guid>
    <b:Title>Decreto-Lei n.º 72/90, de 3 de março, que aprova o Código das Associações Mutualistas</b:Title>
    <b:RefOrder>105</b:RefOrder>
  </b:Source>
  <b:Source>
    <b:Tag>Dec3</b:Tag>
    <b:SourceType>Misc</b:SourceType>
    <b:Guid>{FA367879-CBE0-4515-8508-00CAE42118ED}</b:Guid>
    <b:Title>Decreto-Lei n.º 594/74, de 7 de novembro, que reconhece e regulamenta o direito de associação</b:Title>
    <b:RefOrder>106</b:RefOrder>
  </b:Source>
  <b:Source>
    <b:Tag>Dec4</b:Tag>
    <b:SourceType>Misc</b:SourceType>
    <b:Guid>{3D287FDA-F05C-45D1-A71F-EDE18B9E4F81}</b:Guid>
    <b:Title>Decreto-Lei n.º 410/89, de 21 de novembro, que aprova o Plano Oficial de Contabilidade</b:Title>
    <b:RefOrder>107</b:RefOrder>
  </b:Source>
  <b:Source>
    <b:Tag>Dec9</b:Tag>
    <b:SourceType>Misc</b:SourceType>
    <b:Guid>{CB8F76F6-8BB3-4F18-9BE2-F5889ECB7673}</b:Guid>
    <b:Title>Decreto-Lei n.º 36-A/2011, de 9 de março, que aprova o regime da normalização contabilística para as microentidades (NCM) e para as entidades do setor não lucrativo (ESNL)</b:Title>
    <b:RefOrder>108</b:RefOrder>
  </b:Source>
  <b:Source>
    <b:Tag>Dec5</b:Tag>
    <b:SourceType>Misc</b:SourceType>
    <b:Guid>{4D615912-2617-4506-92BC-4CCD57200518}</b:Guid>
    <b:Title>Decreto-Lei n.º 295/95, de 17 de novembro, que aprova e publica o Plano de Contas das Associações Mutualistas (PCAM)</b:Title>
    <b:RefOrder>109</b:RefOrder>
  </b:Source>
  <b:Source>
    <b:Tag>Dec11</b:Tag>
    <b:SourceType>Misc</b:SourceType>
    <b:Guid>{FD17B66F-8B56-4542-B4A2-9A364F88E5FC}</b:Guid>
    <b:Title>Decreto-Lei n.º 172-A/2014, de 14 de novembro, que alterou e republicou o Estatuto das Instituições Particulares de Solidariedade Social, aprovado pelo Decreto-Lei n.º 119/83, de 25 de fevereiro</b:Title>
    <b:RefOrder>110</b:RefOrder>
  </b:Source>
  <b:Source>
    <b:Tag>Dec8</b:Tag>
    <b:SourceType>Misc</b:SourceType>
    <b:Guid>{776C99CD-E1E5-450E-85C1-04973B8809BE}</b:Guid>
    <b:Title>Decreto-Lei n.º 158/2009, de 13 de julho, que aprova o Sistema de Normalização Contabilística e revoga o Plano Oficial de Contabilidade, aprovado pelo Decreto-Lei n.º 47/77, de 7 de Fevereiro</b:Title>
    <b:RefOrder>111</b:RefOrder>
  </b:Source>
  <b:Source>
    <b:Tag>Dec2</b:Tag>
    <b:SourceType>Misc</b:SourceType>
    <b:Guid>{FD648988-16CA-4F38-996A-4B27C43499AC}</b:Guid>
    <b:Title>Decreto-Lei n.º 134/2003, de 28 de junho, que aprova a criação do Registo de Pessoas Coletivas Religiosas</b:Title>
    <b:RefOrder>112</b:RefOrder>
  </b:Source>
  <b:Source>
    <b:Tag>Dec1</b:Tag>
    <b:SourceType>Misc</b:SourceType>
    <b:Guid>{5599D0AE-30FD-45CD-AD79-A6691D901F15}</b:Guid>
    <b:Title>Decreto-Lei n.º 119/83, de 25 de fevereiro, que aprova o Estatuto das IPSS</b:Title>
    <b:RefOrder>113</b:RefOrder>
  </b:Source>
  <b:Source>
    <b:Tag>Cen16</b:Tag>
    <b:SourceType>Misc</b:SourceType>
    <b:Guid>{CC208337-989B-44F6-BE70-7F5290F2E413}</b:Guid>
    <b:Title>CPF: Centro Português de Fundações</b:Title>
    <b:Year>2016</b:Year>
    <b:InternetSiteTitle>O que é uma fundação</b:InternetSiteTitle>
    <b:PublicationTitle>O que é uma fundação</b:PublicationTitle>
    <b:Publisher>Acedido em 23 de agosto de 2016, disponível em: http://www.cpf.org.pt/paginas/8/o-que-e-uma-fundacao/8/</b:Publisher>
    <b:RefOrder>114</b:RefOrder>
  </b:Source>
  <b:Source>
    <b:Tag>Coo1</b:Tag>
    <b:SourceType>InternetSite</b:SourceType>
    <b:Guid>{FA111294-5FFC-4D89-9A3A-7550CEC66FEF}</b:Guid>
    <b:Title>Cooperativa António Sérgio para a Economia Social (CASES, 2016c)</b:Title>
    <b:InternetSiteTitle>ONG</b:InternetSiteTitle>
    <b:URL>Acedido em 23 de agosto de 2016, disponível em: http://www.cases.pt/outras-organizacoes/ong</b:URL>
    <b:RefOrder>115</b:RefOrder>
  </b:Source>
  <b:Source>
    <b:Tag>Coo</b:Tag>
    <b:SourceType>InternetSite</b:SourceType>
    <b:Guid>{EB1C6E9D-1FA2-473A-932E-77AD85B14D4F}</b:Guid>
    <b:Title>Cooperativa António Sérgio para a Economia Social (CASES, 2016b)</b:Title>
    <b:InternetSiteTitle>Identidade das IPSS</b:InternetSiteTitle>
    <b:URL>Acedido em 23 de agosto de 2016, disponível em: http://www.cases.pt/ipss</b:URL>
    <b:RefOrder>116</b:RefOrder>
  </b:Source>
  <b:Source>
    <b:Tag>Coo16</b:Tag>
    <b:SourceType>InternetSite</b:SourceType>
    <b:Guid>{8A0AEAE1-FBB7-40D5-9722-CFACD8091249}</b:Guid>
    <b:Title>Cooperativa António Sérgio para a Economia Social (CASES, 2016a)</b:Title>
    <b:Year>2016</b:Year>
    <b:URL>Acedido em 23 de agosto de 2016, disponível em: http://www.cases.pt/misericordias/identidadedasmisericordias</b:URL>
    <b:InternetSiteTitle>Identidade das Misericórdias</b:InternetSiteTitle>
    <b:RefOrder>117</b:RefOrder>
  </b:Source>
  <b:Source>
    <b:Tag>Con1</b:Tag>
    <b:SourceType>Misc</b:SourceType>
    <b:Guid>{E98E2806-2428-4E80-8AC2-149FDDA753E0}</b:Guid>
    <b:Title>Constituição Dogmática - Lumen Gentium - Sobre a Igreja </b:Title>
    <b:Publisher>Acedido em 16 de agosto de 2016, disponível em: http://www.vatican.va/archive/hist_councils/ii_vatican_council/documents/vat-ii_const_19641121_lumen-gentium_po.html</b:Publisher>
    <b:RefOrder>118</b:RefOrder>
  </b:Source>
  <b:Source>
    <b:Tag>Ass</b:Tag>
    <b:SourceType>Misc</b:SourceType>
    <b:Guid>{1A4E7785-AF96-440A-A5EC-2BDFB67EE620}</b:Guid>
    <b:Title>Constituição da República Portuguesa</b:Title>
    <b:PeriodicalTitle>Diário da República, 155, I-A Série, 12 de agosto</b:PeriodicalTitle>
    <b:Pages>4642-4686</b:Pages>
    <b:RefOrder>119</b:RefOrder>
  </b:Source>
  <b:Source>
    <b:Tag>Con</b:Tag>
    <b:SourceType>Misc</b:SourceType>
    <b:Guid>{1CE5E924-4BDA-4D8F-90DF-2DE24A7102ED}</b:Guid>
    <b:Title>Constituição Apostólica do Sumo Pontífice João Paulo II - Fidei Depositum - para a publicação do Catecismo da Igreja Católica, de 11 de outubro de 1992</b:Title>
    <b:Publisher>Acedido em 16 de agosto de 2016, dispinível em: http://w2.vatican.va/content/john-paul-ii/pt/apost_constitutions/documents/hf_jp-ii_apc_19921011_fidei-depositum.html</b:Publisher>
    <b:RefOrder>120</b:RefOrder>
  </b:Source>
  <b:Source>
    <b:Tag>Con2</b:Tag>
    <b:SourceType>InternetSite</b:SourceType>
    <b:Guid>{F4D28D51-1778-4C87-8B4E-4C76FAB0C408}</b:Guid>
    <b:URL>Acedido em maio de 2016, disponível em: http://www.conferenciaepiscopal.pt/v1/</b:URL>
    <b:Title>Conferência Episcopal Portuguesa</b:Title>
    <b:RefOrder>121</b:RefOrder>
  </b:Source>
  <b:Source>
    <b:Tag>Con40</b:Tag>
    <b:SourceType>Misc</b:SourceType>
    <b:Guid>{EAC2B55D-9855-4752-9DA9-E16DE608EAA1}</b:Guid>
    <b:Title>Concordata entre a Santa Sé e a República Portuguesa</b:Title>
    <b:Year>1940</b:Year>
    <b:Month>Maio</b:Month>
    <b:Day>7</b:Day>
    <b:Publisher>Acedido em 15 de novembro de 2015, disponível em: http://www.ucp.pt/site/resources/documents/ISDC/Texto%20da%20Concordata%20-%201940.htm</b:Publisher>
    <b:RefOrder>122</b:RefOrder>
  </b:Source>
  <b:Source>
    <b:Tag>Cód10</b:Tag>
    <b:SourceType>Misc</b:SourceType>
    <b:Guid>{A722C048-8DDD-40D3-B0B2-F3DF4E58F3EE}</b:Guid>
    <b:Title>Código Civil, 13ª edição</b:Title>
    <b:Year>2010</b:Year>
    <b:Publisher>Porto Editora</b:Publisher>
    <b:CountryRegion>Porto</b:CountryRegion>
    <b:RefOrder>123</b:RefOrder>
  </b:Source>
  <b:Source>
    <b:Tag>CIR07</b:Tag>
    <b:SourceType>Misc</b:SourceType>
    <b:Guid>{3F2BF754-E6B4-44E7-B6A7-A4D2AC46545B}</b:Guid>
    <b:Title>CIRIEC: Centro Internacional de Pesquisa e Informação sobre Economia Pública, Social e Cooperativa</b:Title>
    <b:Year>2007</b:Year>
    <b:Publisher>Acedido em 27 de setembro de 2016, disponível em: http://bookshop.europa.eu/pt/a-economia-social-na-uni-o-europeia-pbQE7007068/</b:Publisher>
    <b:PublicationTitle>A Economia Social na União Europeia.</b:PublicationTitle>
    <b:RefOrder>124</b:RefOrder>
  </b:Source>
  <b:Source>
    <b:Tag>Cat</b:Tag>
    <b:SourceType>Misc</b:SourceType>
    <b:Guid>{6FEF334D-7672-4DA6-ADD4-572C8A18E00E}</b:Guid>
    <b:Title>CIC: Catecismo da Igreja Católica</b:Title>
    <b:Publisher>Acedido em 16 de agosto de 2016, disponível em: http://www.vatican.va/archive/cathechism_po/index_new/prima-pagina-cic_po.html</b:Publisher>
    <b:RefOrder>125</b:RefOrder>
  </b:Source>
  <b:Source>
    <b:Tag>Bas07</b:Tag>
    <b:SourceType>DocumentFromInternetSite</b:SourceType>
    <b:Guid>{2664D569-0C73-4C9D-ABC5-1831DBCC705C}</b:Guid>
    <b:Title>Bases Estatutárias da Cúria Diocesana do Patriarcado de Lisboa</b:Title>
    <b:InternetSiteTitle>Diocese de Lisboa</b:InternetSiteTitle>
    <b:Year>2007</b:Year>
    <b:URL>Acedido em 18 de junho de 2016, disponível em: http://www.patriarcado-lisboa.pt/</b:URL>
    <b:RefOrder>126</b:RefOrder>
  </b:Source>
  <b:Source>
    <b:Tag>Avi</b:Tag>
    <b:SourceType>Misc</b:SourceType>
    <b:Guid>{88EB5E2F-739F-421D-BE3B-C1D41D8B5AE0}</b:Guid>
    <b:Title>Aviso s/n, autoriza a publicação do texto em inglês e a respetiva tradução em português da Declaração Universal dos Direitos do Homem de 10 de dezembro de 1948</b:Title>
    <b:RefOrder>127</b:RefOrder>
  </b:Source>
  <b:Source>
    <b:Tag>Avi1</b:Tag>
    <b:SourceType>Misc</b:SourceType>
    <b:Guid>{7E1BB723-A00E-4E82-8EA2-8CAE2749B114}</b:Guid>
    <b:Title>Aviso n.º 8259/2015, de 29 de julho, que homologa a Norma Contabilística e de Relato Financeiro para Entidades do Setor Não Lucrativo do Sistema de Normalização Contabilística</b:Title>
    <b:RefOrder>128</b:RefOrder>
  </b:Source>
  <b:Source>
    <b:Tag>Avi2</b:Tag>
    <b:SourceType>Misc</b:SourceType>
    <b:Guid>{3A1D8D5D-E3E7-4230-8951-6A582391A3A1}</b:Guid>
    <b:Title>Aviso n.º 8254/2015, de 29 de julho, que homologa a Estrutura Conceptual do Sistema de Normalização Contabilística</b:Title>
    <b:RefOrder>129</b:RefOrder>
  </b:Source>
  <b:Source>
    <b:Tag>Anu</b:Tag>
    <b:SourceType>InternetSite</b:SourceType>
    <b:Guid>{5EE6A860-6C64-473F-AB29-D7C09F492094}</b:Guid>
    <b:Title>Anuário Católico</b:Title>
    <b:URL>Acedido em maio de 2016, disponível em: http://www.anuariocatolicoportugal.net/</b:URL>
    <b:RefOrder>130</b:RefOrder>
  </b:Source>
  <b:Source>
    <b:Tag>Adm00</b:Tag>
    <b:SourceType>DocumentFromInternetSite</b:SourceType>
    <b:Guid>{009FAE02-B0FD-4AF5-BD48-3BD839C261BE}</b:Guid>
    <b:Title>Administração das Paróquias</b:Title>
    <b:InternetSiteTitle>Diocese de Setúbal</b:InternetSiteTitle>
    <b:Year>2000</b:Year>
    <b:URL>Acedido em 18 de junho de 2016, disponível em: http://www.diocese-setubal.pt/</b:URL>
    <b:RefOrder>131</b:RefOrder>
  </b:Source>
  <b:Source>
    <b:Tag>ASa</b:Tag>
    <b:SourceType>InternetSite</b:SourceType>
    <b:Guid>{E9975423-2DC6-4C29-8F80-002D8C25CE69}</b:Guid>
    <b:Title>A Santa Sé</b:Title>
    <b:URL>Acedido em 16 de agosto, disponível em: http://w2.vatican.va/content/vatican/pt.html</b:URL>
    <b:RefOrder>132</b:RefOrder>
  </b:Source>
  <b:Source>
    <b:Tag>APa</b:Tag>
    <b:SourceType>InternetSite</b:SourceType>
    <b:Guid>{39B160E4-F542-42F4-80D1-99E4AAA38FD0}</b:Guid>
    <b:Title>A Paróquia - Administração Paroquial</b:Title>
    <b:URL>Acedido em 15 de setembro de 2016, disponível em: http://www.aparoquia.com/apo/</b:URL>
    <b:RefOrder>133</b:RefOrder>
  </b:Source>
</b:Sources>
</file>

<file path=customXml/itemProps1.xml><?xml version="1.0" encoding="utf-8"?>
<ds:datastoreItem xmlns:ds="http://schemas.openxmlformats.org/officeDocument/2006/customXml" ds:itemID="{B5491459-D37F-44D7-B6D1-561A534F6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7394</Words>
  <Characters>39933</Characters>
  <Application>Microsoft Office Word</Application>
  <DocSecurity>0</DocSecurity>
  <Lines>332</Lines>
  <Paragraphs>94</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47233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Optimus</dc:creator>
  <cp:lastModifiedBy>Ana Bandeira</cp:lastModifiedBy>
  <cp:revision>2</cp:revision>
  <cp:lastPrinted>2016-12-29T22:20:00Z</cp:lastPrinted>
  <dcterms:created xsi:type="dcterms:W3CDTF">2017-08-14T14:21:00Z</dcterms:created>
  <dcterms:modified xsi:type="dcterms:W3CDTF">2017-08-14T14:21:00Z</dcterms:modified>
</cp:coreProperties>
</file>