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4A3888" w14:textId="77777777" w:rsidR="00E85377" w:rsidRPr="00BB024D" w:rsidRDefault="00E85377" w:rsidP="00E85377">
      <w:pPr>
        <w:spacing w:line="480" w:lineRule="auto"/>
        <w:jc w:val="center"/>
        <w:rPr>
          <w:rFonts w:ascii="Times New Roman" w:hAnsi="Times New Roman" w:cs="Times New Roman"/>
          <w:sz w:val="32"/>
          <w:szCs w:val="32"/>
        </w:rPr>
      </w:pPr>
      <w:r w:rsidRPr="00BB024D">
        <w:rPr>
          <w:rFonts w:ascii="Times New Roman" w:hAnsi="Times New Roman" w:cs="Times New Roman"/>
          <w:b/>
          <w:sz w:val="32"/>
          <w:szCs w:val="32"/>
        </w:rPr>
        <w:t>XVI CONGRESSO INTERNACIONAL DE CONTABILIDADE E AUDITORIA</w:t>
      </w:r>
    </w:p>
    <w:p w14:paraId="7D678262" w14:textId="77777777" w:rsidR="00E85377" w:rsidRPr="00BB024D" w:rsidRDefault="00E85377" w:rsidP="00E8537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01E6A9" w14:textId="77777777" w:rsidR="00E85377" w:rsidRPr="00BB024D" w:rsidRDefault="00E85377" w:rsidP="00E85377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AB4668" w14:textId="77777777" w:rsidR="00DE57EA" w:rsidRDefault="00E85377" w:rsidP="00DE57E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E85377">
        <w:rPr>
          <w:rFonts w:ascii="Times New Roman" w:hAnsi="Times New Roman" w:cs="Times New Roman"/>
          <w:b/>
          <w:color w:val="000000"/>
          <w:sz w:val="32"/>
          <w:szCs w:val="32"/>
        </w:rPr>
        <w:t xml:space="preserve">Transparência das IPSS na Região Autónoma da Madeira: </w:t>
      </w:r>
    </w:p>
    <w:p w14:paraId="5C864585" w14:textId="14B8C664" w:rsidR="00E85377" w:rsidRPr="00E85377" w:rsidRDefault="00E85377" w:rsidP="00DE57E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E85377">
        <w:rPr>
          <w:rFonts w:ascii="Times New Roman" w:hAnsi="Times New Roman" w:cs="Times New Roman"/>
          <w:b/>
          <w:color w:val="000000"/>
          <w:sz w:val="32"/>
          <w:szCs w:val="32"/>
        </w:rPr>
        <w:t>estudo empírico</w:t>
      </w:r>
    </w:p>
    <w:p w14:paraId="6EFA9B03" w14:textId="600C8CE6" w:rsidR="00E85377" w:rsidRPr="00BB024D" w:rsidRDefault="00E85377" w:rsidP="00E85377">
      <w:pPr>
        <w:spacing w:after="120" w:line="48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F19B615" w14:textId="77777777" w:rsidR="00E85377" w:rsidRDefault="00E85377" w:rsidP="00E85377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6AFE00" w14:textId="77777777" w:rsidR="00E85377" w:rsidRPr="00BB024D" w:rsidRDefault="00E85377" w:rsidP="00E85377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B9F0C94" w14:textId="77777777" w:rsidR="00E85377" w:rsidRPr="00BB024D" w:rsidRDefault="00E85377" w:rsidP="00E85377">
      <w:pPr>
        <w:spacing w:after="0" w:line="36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B024D">
        <w:rPr>
          <w:rFonts w:ascii="Times New Roman" w:hAnsi="Times New Roman" w:cs="Times New Roman"/>
          <w:b/>
          <w:sz w:val="24"/>
          <w:szCs w:val="24"/>
        </w:rPr>
        <w:t>Autores:</w:t>
      </w:r>
    </w:p>
    <w:p w14:paraId="1FB28E04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4B42B45" w14:textId="77777777" w:rsidR="0073791B" w:rsidRDefault="0073791B" w:rsidP="0073791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353D7">
        <w:rPr>
          <w:rFonts w:ascii="Times New Roman" w:hAnsi="Times New Roman" w:cs="Times New Roman"/>
          <w:sz w:val="24"/>
          <w:szCs w:val="24"/>
        </w:rPr>
        <w:t xml:space="preserve">Tomásia Ornelas </w:t>
      </w:r>
    </w:p>
    <w:p w14:paraId="0EECA6B3" w14:textId="77777777" w:rsidR="0073791B" w:rsidRPr="003353D7" w:rsidRDefault="0073791B" w:rsidP="0073791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Mestranda em Contabilidade e Finanças do ISCAP/PP</w:t>
      </w:r>
    </w:p>
    <w:p w14:paraId="27C3D016" w14:textId="77777777" w:rsidR="0073791B" w:rsidRPr="003353D7" w:rsidRDefault="0073791B" w:rsidP="007379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hyperlink r:id="rId8" w:history="1">
        <w:r w:rsidRPr="003353D7">
          <w:rPr>
            <w:rStyle w:val="Hiperligao"/>
            <w:rFonts w:ascii="Times New Roman" w:hAnsi="Times New Roman" w:cs="Times New Roman"/>
            <w:sz w:val="24"/>
            <w:szCs w:val="24"/>
          </w:rPr>
          <w:t>tomasia_pxo@hotmail.com</w:t>
        </w:r>
      </w:hyperlink>
      <w:r w:rsidRPr="003353D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DAD899" w14:textId="77777777" w:rsidR="0073791B" w:rsidRDefault="0073791B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FFEF9DC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Ana Maria Bandeira</w:t>
      </w:r>
    </w:p>
    <w:p w14:paraId="13C42E90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Professora Adjunta</w:t>
      </w:r>
    </w:p>
    <w:p w14:paraId="683B0248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P.PORTO/ISCAP/CEOS</w:t>
      </w:r>
      <w:r>
        <w:rPr>
          <w:rFonts w:ascii="Times New Roman" w:hAnsi="Times New Roman" w:cs="Times New Roman"/>
          <w:sz w:val="24"/>
          <w:szCs w:val="24"/>
        </w:rPr>
        <w:t>.PP</w:t>
      </w:r>
      <w:r w:rsidRPr="00BB024D">
        <w:rPr>
          <w:rFonts w:ascii="Times New Roman" w:hAnsi="Times New Roman" w:cs="Times New Roman"/>
          <w:sz w:val="24"/>
          <w:szCs w:val="24"/>
        </w:rPr>
        <w:t>/CEPESE</w:t>
      </w:r>
    </w:p>
    <w:p w14:paraId="3AD3784C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color w:val="0000FF"/>
          <w:sz w:val="24"/>
          <w:szCs w:val="24"/>
        </w:rPr>
        <w:t>bandeira@iscap.ipp.pt</w:t>
      </w:r>
    </w:p>
    <w:p w14:paraId="5DBAC3EA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FACCB6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Deolinda Aparício Meira</w:t>
      </w:r>
    </w:p>
    <w:p w14:paraId="108C40C1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Professora Adjunta</w:t>
      </w:r>
    </w:p>
    <w:p w14:paraId="6F9CEF65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P.PORTO/ISCAP/CEOS</w:t>
      </w:r>
      <w:r>
        <w:rPr>
          <w:rFonts w:ascii="Times New Roman" w:hAnsi="Times New Roman" w:cs="Times New Roman"/>
          <w:sz w:val="24"/>
          <w:szCs w:val="24"/>
        </w:rPr>
        <w:t>.PP</w:t>
      </w:r>
    </w:p>
    <w:p w14:paraId="7298FA3D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color w:val="0000FF"/>
          <w:sz w:val="24"/>
          <w:szCs w:val="24"/>
        </w:rPr>
        <w:t>meira@iscap.ipp.pt</w:t>
      </w:r>
    </w:p>
    <w:p w14:paraId="71C4DC6F" w14:textId="77777777" w:rsidR="00E85377" w:rsidRPr="00BB024D" w:rsidRDefault="00E85377" w:rsidP="00E8537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158D0F0C" w14:textId="77777777" w:rsidR="00E85377" w:rsidRPr="00BB024D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870C4F" w14:textId="77777777" w:rsidR="00E85377" w:rsidRPr="00BB024D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143AEB9" w14:textId="77777777" w:rsidR="00E85377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3E2773" w14:textId="77777777" w:rsidR="00DE57EA" w:rsidRDefault="00DE57EA" w:rsidP="00E8537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7C494F" w14:textId="77777777" w:rsidR="00DE57EA" w:rsidRPr="00BB024D" w:rsidRDefault="00DE57EA" w:rsidP="00E8537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0C92B2DF" w14:textId="77777777" w:rsidR="00E85377" w:rsidRPr="00BB024D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E4C94F" w14:textId="77777777" w:rsidR="00E85377" w:rsidRPr="00BB024D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B024D">
        <w:rPr>
          <w:rFonts w:ascii="Times New Roman" w:hAnsi="Times New Roman" w:cs="Times New Roman"/>
          <w:b/>
          <w:sz w:val="24"/>
          <w:szCs w:val="24"/>
        </w:rPr>
        <w:t xml:space="preserve">Área Temática: </w:t>
      </w:r>
      <w:r w:rsidRPr="00BB024D">
        <w:rPr>
          <w:rFonts w:ascii="Times New Roman" w:hAnsi="Times New Roman" w:cs="Times New Roman"/>
          <w:b/>
          <w:bCs/>
          <w:sz w:val="24"/>
          <w:szCs w:val="24"/>
        </w:rPr>
        <w:t>I-Setor Público e Setor Não Lucrativo</w:t>
      </w:r>
    </w:p>
    <w:p w14:paraId="4E0BD3A9" w14:textId="77777777" w:rsidR="00E85377" w:rsidRPr="00BB024D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C3CCE4" w14:textId="77777777" w:rsidR="00E85377" w:rsidRDefault="00E85377" w:rsidP="00E853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27B457" w14:textId="77777777" w:rsidR="00DE57EA" w:rsidRPr="00BB024D" w:rsidRDefault="00DE57EA" w:rsidP="00E8537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982025" w14:textId="77777777" w:rsidR="00E85377" w:rsidRPr="00BB024D" w:rsidRDefault="00E85377" w:rsidP="00E85377">
      <w:pPr>
        <w:pStyle w:val="CitaoIntensa"/>
        <w:pBdr>
          <w:bottom w:val="none" w:sz="0" w:space="0" w:color="auto"/>
        </w:pBdr>
        <w:spacing w:before="0" w:after="0" w:line="240" w:lineRule="auto"/>
        <w:ind w:left="0" w:right="0"/>
        <w:outlineLvl w:val="0"/>
        <w:rPr>
          <w:rFonts w:ascii="Times New Roman" w:hAnsi="Times New Roman" w:cs="Times New Roman"/>
          <w:sz w:val="24"/>
          <w:szCs w:val="24"/>
        </w:rPr>
      </w:pPr>
      <w:r w:rsidRPr="00BB024D">
        <w:rPr>
          <w:rFonts w:ascii="Times New Roman" w:hAnsi="Times New Roman" w:cs="Times New Roman"/>
          <w:sz w:val="24"/>
          <w:szCs w:val="24"/>
        </w:rPr>
        <w:t>Tipologia do Trabalho: Comunicação</w:t>
      </w:r>
    </w:p>
    <w:p w14:paraId="6C289288" w14:textId="77777777" w:rsidR="00E85377" w:rsidRDefault="00E85377">
      <w:pPr>
        <w:rPr>
          <w:rFonts w:ascii="Times New Roman" w:hAnsi="Times New Roman" w:cs="Times New Roman"/>
          <w:b/>
          <w:color w:val="000000"/>
          <w:sz w:val="28"/>
          <w:szCs w:val="20"/>
        </w:rPr>
      </w:pPr>
      <w:r>
        <w:rPr>
          <w:rFonts w:ascii="Times New Roman" w:hAnsi="Times New Roman" w:cs="Times New Roman"/>
          <w:b/>
          <w:color w:val="000000"/>
          <w:sz w:val="28"/>
          <w:szCs w:val="20"/>
        </w:rPr>
        <w:br w:type="page"/>
      </w:r>
    </w:p>
    <w:p w14:paraId="1D6AFFD1" w14:textId="77777777" w:rsidR="00F03FCF" w:rsidRPr="00A857F5" w:rsidRDefault="00F03FCF" w:rsidP="00F03FCF">
      <w:pPr>
        <w:spacing w:line="480" w:lineRule="auto"/>
        <w:jc w:val="both"/>
        <w:rPr>
          <w:rFonts w:ascii="Times New Roman" w:hAnsi="Times New Roman" w:cs="Times New Roman"/>
          <w:b/>
          <w:sz w:val="24"/>
        </w:rPr>
      </w:pPr>
      <w:r w:rsidRPr="00A857F5">
        <w:rPr>
          <w:rFonts w:ascii="Times New Roman" w:hAnsi="Times New Roman" w:cs="Times New Roman"/>
          <w:b/>
          <w:sz w:val="24"/>
        </w:rPr>
        <w:lastRenderedPageBreak/>
        <w:t>Resumo:</w:t>
      </w:r>
    </w:p>
    <w:p w14:paraId="3BDDAF1E" w14:textId="77777777" w:rsidR="00B165D4" w:rsidRDefault="00F03FCF" w:rsidP="00030B5E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Pr="00866C5C">
        <w:rPr>
          <w:rFonts w:ascii="Times New Roman" w:hAnsi="Times New Roman" w:cs="Times New Roman"/>
          <w:sz w:val="24"/>
          <w:szCs w:val="24"/>
        </w:rPr>
        <w:t xml:space="preserve"> novo estatuto das I</w:t>
      </w:r>
      <w:r>
        <w:rPr>
          <w:rFonts w:ascii="Times New Roman" w:hAnsi="Times New Roman" w:cs="Times New Roman"/>
          <w:sz w:val="24"/>
          <w:szCs w:val="24"/>
        </w:rPr>
        <w:t xml:space="preserve">nstituições </w:t>
      </w:r>
      <w:r w:rsidRPr="00866C5C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rivadas de </w:t>
      </w:r>
      <w:r w:rsidRPr="00866C5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olidariedade </w:t>
      </w:r>
      <w:r w:rsidRPr="00866C5C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ocial (IPSS)</w:t>
      </w:r>
      <w:r w:rsidRPr="00866C5C">
        <w:rPr>
          <w:rFonts w:ascii="Times New Roman" w:hAnsi="Times New Roman" w:cs="Times New Roman"/>
          <w:sz w:val="24"/>
          <w:szCs w:val="24"/>
        </w:rPr>
        <w:t xml:space="preserve">, previsto no Decreto-Lei n.º 172-A/2014, de 14 de novembro, </w:t>
      </w:r>
      <w:r>
        <w:rPr>
          <w:rFonts w:ascii="Times New Roman" w:hAnsi="Times New Roman" w:cs="Times New Roman"/>
          <w:sz w:val="24"/>
          <w:szCs w:val="24"/>
        </w:rPr>
        <w:t>veio</w:t>
      </w:r>
      <w:r w:rsidRPr="00866C5C">
        <w:rPr>
          <w:rFonts w:ascii="Times New Roman" w:hAnsi="Times New Roman" w:cs="Times New Roman"/>
          <w:sz w:val="24"/>
          <w:szCs w:val="24"/>
        </w:rPr>
        <w:t xml:space="preserve"> exigir a publicação das contas no sítio institucional eletrónico d</w:t>
      </w:r>
      <w:r>
        <w:rPr>
          <w:rFonts w:ascii="Times New Roman" w:hAnsi="Times New Roman" w:cs="Times New Roman"/>
          <w:sz w:val="24"/>
          <w:szCs w:val="24"/>
        </w:rPr>
        <w:t>estas</w:t>
      </w:r>
      <w:r w:rsidRPr="00866C5C">
        <w:rPr>
          <w:rFonts w:ascii="Times New Roman" w:hAnsi="Times New Roman" w:cs="Times New Roman"/>
          <w:sz w:val="24"/>
          <w:szCs w:val="24"/>
        </w:rPr>
        <w:t xml:space="preserve"> instituiç</w:t>
      </w:r>
      <w:r>
        <w:rPr>
          <w:rFonts w:ascii="Times New Roman" w:hAnsi="Times New Roman" w:cs="Times New Roman"/>
          <w:sz w:val="24"/>
          <w:szCs w:val="24"/>
        </w:rPr>
        <w:t>ões</w:t>
      </w:r>
      <w:r w:rsidRPr="00866C5C">
        <w:rPr>
          <w:rFonts w:ascii="Times New Roman" w:hAnsi="Times New Roman" w:cs="Times New Roman"/>
          <w:sz w:val="24"/>
          <w:szCs w:val="24"/>
        </w:rPr>
        <w:t xml:space="preserve"> até ao dia 31 de maio do ano seguinte a que dizem respeito (art.º 14.º-A).</w:t>
      </w:r>
      <w:r>
        <w:rPr>
          <w:rFonts w:ascii="Times New Roman" w:hAnsi="Times New Roman" w:cs="Times New Roman"/>
          <w:sz w:val="24"/>
          <w:szCs w:val="24"/>
        </w:rPr>
        <w:t xml:space="preserve"> Perante este problema, o</w:t>
      </w:r>
      <w:r w:rsidRPr="00866C5C">
        <w:rPr>
          <w:rFonts w:ascii="Times New Roman" w:hAnsi="Times New Roman" w:cs="Times New Roman"/>
          <w:sz w:val="24"/>
          <w:szCs w:val="24"/>
        </w:rPr>
        <w:t xml:space="preserve"> objetivo principal d</w:t>
      </w:r>
      <w:r>
        <w:rPr>
          <w:rFonts w:ascii="Times New Roman" w:hAnsi="Times New Roman" w:cs="Times New Roman"/>
          <w:sz w:val="24"/>
          <w:szCs w:val="24"/>
        </w:rPr>
        <w:t>este</w:t>
      </w:r>
      <w:r w:rsidRPr="00866C5C">
        <w:rPr>
          <w:rFonts w:ascii="Times New Roman" w:hAnsi="Times New Roman" w:cs="Times New Roman"/>
          <w:sz w:val="24"/>
          <w:szCs w:val="24"/>
        </w:rPr>
        <w:t xml:space="preserve"> trabalho é</w:t>
      </w:r>
      <w:r>
        <w:rPr>
          <w:rFonts w:ascii="Times New Roman" w:hAnsi="Times New Roman" w:cs="Times New Roman"/>
          <w:sz w:val="24"/>
          <w:szCs w:val="24"/>
        </w:rPr>
        <w:t xml:space="preserve"> o de</w:t>
      </w:r>
      <w:r w:rsidRPr="00866C5C">
        <w:rPr>
          <w:rFonts w:ascii="Times New Roman" w:hAnsi="Times New Roman" w:cs="Times New Roman"/>
          <w:sz w:val="24"/>
          <w:szCs w:val="24"/>
        </w:rPr>
        <w:t xml:space="preserve"> sensibilizar as IPSS para as exigências legais que decorrem da</w:t>
      </w:r>
      <w:r>
        <w:rPr>
          <w:rFonts w:ascii="Times New Roman" w:hAnsi="Times New Roman" w:cs="Times New Roman"/>
          <w:sz w:val="24"/>
          <w:szCs w:val="24"/>
        </w:rPr>
        <w:t>quela</w:t>
      </w:r>
      <w:r w:rsidRPr="00866C5C">
        <w:rPr>
          <w:rFonts w:ascii="Times New Roman" w:hAnsi="Times New Roman" w:cs="Times New Roman"/>
          <w:sz w:val="24"/>
          <w:szCs w:val="24"/>
        </w:rPr>
        <w:t xml:space="preserve"> recente alteração ao Estatuto que as enquadra</w:t>
      </w:r>
      <w:r w:rsidR="00B165D4">
        <w:rPr>
          <w:rFonts w:ascii="Times New Roman" w:hAnsi="Times New Roman" w:cs="Times New Roman"/>
          <w:sz w:val="24"/>
          <w:szCs w:val="24"/>
        </w:rPr>
        <w:t xml:space="preserve"> e, como objetivo específico, procuramos ainda averiguar </w:t>
      </w:r>
      <w:r w:rsidRPr="00866C5C">
        <w:rPr>
          <w:rFonts w:ascii="Times New Roman" w:hAnsi="Times New Roman" w:cs="Times New Roman"/>
          <w:sz w:val="24"/>
          <w:szCs w:val="24"/>
        </w:rPr>
        <w:t xml:space="preserve">o nível de transparência das IPSS na Região Autónoma da Madeira (RAM). </w:t>
      </w:r>
    </w:p>
    <w:p w14:paraId="5C763992" w14:textId="105646E4" w:rsidR="00F03FCF" w:rsidRDefault="00F03FCF" w:rsidP="00B165D4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Para o efeito realizou-se </w:t>
      </w:r>
      <w:r w:rsidR="00B165D4">
        <w:rPr>
          <w:rFonts w:ascii="Times New Roman" w:hAnsi="Times New Roman" w:cs="Times New Roman"/>
          <w:sz w:val="24"/>
          <w:szCs w:val="24"/>
        </w:rPr>
        <w:t>um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66C5C">
        <w:rPr>
          <w:rFonts w:ascii="Times New Roman" w:hAnsi="Times New Roman" w:cs="Times New Roman"/>
          <w:sz w:val="24"/>
          <w:szCs w:val="24"/>
        </w:rPr>
        <w:t>estudo</w:t>
      </w:r>
      <w:r>
        <w:rPr>
          <w:rFonts w:ascii="Times New Roman" w:hAnsi="Times New Roman" w:cs="Times New Roman"/>
          <w:sz w:val="24"/>
          <w:szCs w:val="24"/>
        </w:rPr>
        <w:t xml:space="preserve"> empírico tendo como </w:t>
      </w:r>
      <w:r w:rsidRPr="00866C5C">
        <w:rPr>
          <w:rFonts w:ascii="Times New Roman" w:hAnsi="Times New Roman" w:cs="Times New Roman"/>
          <w:sz w:val="24"/>
          <w:szCs w:val="24"/>
        </w:rPr>
        <w:t xml:space="preserve">população-alvo as </w:t>
      </w:r>
      <w:r w:rsidR="00B165D4">
        <w:rPr>
          <w:rFonts w:ascii="Times New Roman" w:hAnsi="Times New Roman" w:cs="Times New Roman"/>
          <w:sz w:val="24"/>
          <w:szCs w:val="24"/>
        </w:rPr>
        <w:t>cinquenta e cinco Instituições Particulares de Solidariedade Social</w:t>
      </w:r>
      <w:r w:rsidRPr="00866C5C">
        <w:rPr>
          <w:rFonts w:ascii="Times New Roman" w:hAnsi="Times New Roman" w:cs="Times New Roman"/>
          <w:sz w:val="24"/>
          <w:szCs w:val="24"/>
        </w:rPr>
        <w:t xml:space="preserve"> </w:t>
      </w:r>
      <w:r w:rsidR="00B165D4">
        <w:rPr>
          <w:rFonts w:ascii="Times New Roman" w:hAnsi="Times New Roman" w:cs="Times New Roman"/>
          <w:sz w:val="24"/>
          <w:szCs w:val="24"/>
        </w:rPr>
        <w:t>(</w:t>
      </w:r>
      <w:r w:rsidRPr="00866C5C">
        <w:rPr>
          <w:rFonts w:ascii="Times New Roman" w:hAnsi="Times New Roman" w:cs="Times New Roman"/>
          <w:sz w:val="24"/>
          <w:szCs w:val="24"/>
        </w:rPr>
        <w:t>IPSS</w:t>
      </w:r>
      <w:r w:rsidR="00B165D4">
        <w:rPr>
          <w:rFonts w:ascii="Times New Roman" w:hAnsi="Times New Roman" w:cs="Times New Roman"/>
          <w:sz w:val="24"/>
          <w:szCs w:val="24"/>
        </w:rPr>
        <w:t>)</w:t>
      </w:r>
      <w:r w:rsidRPr="00866C5C">
        <w:rPr>
          <w:rFonts w:ascii="Times New Roman" w:hAnsi="Times New Roman" w:cs="Times New Roman"/>
          <w:sz w:val="24"/>
          <w:szCs w:val="24"/>
        </w:rPr>
        <w:t>, registadas na</w:t>
      </w:r>
      <w:r>
        <w:rPr>
          <w:rFonts w:ascii="Times New Roman" w:hAnsi="Times New Roman" w:cs="Times New Roman"/>
          <w:sz w:val="24"/>
          <w:szCs w:val="24"/>
        </w:rPr>
        <w:t xml:space="preserve">quela região, de modo a </w:t>
      </w:r>
      <w:r w:rsidRPr="00B87763">
        <w:rPr>
          <w:rFonts w:ascii="Times New Roman" w:hAnsi="Times New Roman" w:cs="Times New Roman"/>
          <w:sz w:val="24"/>
          <w:szCs w:val="24"/>
        </w:rPr>
        <w:t xml:space="preserve">averiguar </w:t>
      </w:r>
      <w:r>
        <w:rPr>
          <w:rFonts w:ascii="Times New Roman" w:hAnsi="Times New Roman" w:cs="Times New Roman"/>
          <w:sz w:val="24"/>
          <w:szCs w:val="24"/>
        </w:rPr>
        <w:t>a transparência dessas entidades</w:t>
      </w:r>
      <w:r w:rsidRPr="00B87763">
        <w:rPr>
          <w:rFonts w:ascii="Times New Roman" w:hAnsi="Times New Roman" w:cs="Times New Roman"/>
          <w:sz w:val="24"/>
          <w:szCs w:val="24"/>
        </w:rPr>
        <w:t xml:space="preserve"> na R</w:t>
      </w:r>
      <w:r>
        <w:rPr>
          <w:rFonts w:ascii="Times New Roman" w:hAnsi="Times New Roman" w:cs="Times New Roman"/>
          <w:sz w:val="24"/>
          <w:szCs w:val="24"/>
        </w:rPr>
        <w:t xml:space="preserve">egião </w:t>
      </w:r>
      <w:r w:rsidRPr="00B87763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utónoma da Madeira</w:t>
      </w:r>
      <w:r w:rsidRPr="00B8776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Para o efeito recorreu-se a dois métodos de investigação, método quantitativo e método qualitativo para aferir o grau de transparência destas entidades na RAM.</w:t>
      </w:r>
      <w:r w:rsidR="00030B5E">
        <w:rPr>
          <w:rFonts w:ascii="Times New Roman" w:hAnsi="Times New Roman" w:cs="Times New Roman"/>
          <w:sz w:val="24"/>
          <w:szCs w:val="24"/>
        </w:rPr>
        <w:t xml:space="preserve">  Os resultados mostraram que ao nível da transparência ainda existe um elevado número de IPSS da RAM que não cumprem as regras legais</w:t>
      </w:r>
      <w:r w:rsidR="00030B5E" w:rsidRPr="00030B5E">
        <w:rPr>
          <w:rFonts w:ascii="Times New Roman" w:hAnsi="Times New Roman" w:cs="Times New Roman"/>
          <w:sz w:val="24"/>
          <w:szCs w:val="24"/>
        </w:rPr>
        <w:t>.</w:t>
      </w:r>
    </w:p>
    <w:p w14:paraId="617365A2" w14:textId="65A8DD22" w:rsidR="00F03FCF" w:rsidRPr="00F03FCF" w:rsidRDefault="00F03FCF" w:rsidP="00F03FCF">
      <w:pPr>
        <w:spacing w:line="480" w:lineRule="auto"/>
        <w:jc w:val="both"/>
        <w:rPr>
          <w:rFonts w:ascii="Times New Roman" w:hAnsi="Times New Roman" w:cs="Times New Roman"/>
          <w:sz w:val="24"/>
        </w:rPr>
      </w:pPr>
      <w:r w:rsidRPr="00A857F5">
        <w:rPr>
          <w:rFonts w:ascii="Times New Roman" w:hAnsi="Times New Roman" w:cs="Times New Roman"/>
          <w:b/>
          <w:sz w:val="24"/>
        </w:rPr>
        <w:t>Palavras-Chave:</w:t>
      </w:r>
      <w:r>
        <w:rPr>
          <w:rFonts w:ascii="Times New Roman" w:hAnsi="Times New Roman" w:cs="Times New Roman"/>
          <w:sz w:val="24"/>
        </w:rPr>
        <w:t xml:space="preserve"> </w:t>
      </w:r>
      <w:r w:rsidRPr="00B87763">
        <w:rPr>
          <w:rFonts w:ascii="Times New Roman" w:hAnsi="Times New Roman" w:cs="Times New Roman"/>
          <w:sz w:val="24"/>
          <w:szCs w:val="24"/>
        </w:rPr>
        <w:t>Economi</w:t>
      </w:r>
      <w:r>
        <w:rPr>
          <w:rFonts w:ascii="Times New Roman" w:hAnsi="Times New Roman" w:cs="Times New Roman"/>
          <w:sz w:val="24"/>
          <w:szCs w:val="24"/>
        </w:rPr>
        <w:t>a Social; Instituições Particulares de Solidariedade Social; Transparência; Entidades do Sector Não Lucrativo.</w:t>
      </w:r>
    </w:p>
    <w:p w14:paraId="5082BAB1" w14:textId="77777777" w:rsidR="00F03FCF" w:rsidRDefault="00F03FCF" w:rsidP="00314384">
      <w:pPr>
        <w:pStyle w:val="SemEspaamento"/>
        <w:spacing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3F576860" w14:textId="25E17B4F" w:rsidR="00B165D4" w:rsidRDefault="008E1FA2" w:rsidP="008B2786">
      <w:pPr>
        <w:spacing w:before="120" w:after="120"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lastRenderedPageBreak/>
        <w:t>1.</w:t>
      </w:r>
      <w:r w:rsidR="00B165D4">
        <w:rPr>
          <w:rFonts w:ascii="Times New Roman" w:hAnsi="Times New Roman" w:cs="Times New Roman"/>
          <w:b/>
          <w:sz w:val="24"/>
        </w:rPr>
        <w:t>Introdução</w:t>
      </w:r>
    </w:p>
    <w:p w14:paraId="1850EE85" w14:textId="0102DBF6" w:rsidR="00B165D4" w:rsidRPr="00314384" w:rsidRDefault="00B165D4" w:rsidP="008B2786">
      <w:pPr>
        <w:autoSpaceDE w:val="0"/>
        <w:autoSpaceDN w:val="0"/>
        <w:adjustRightInd w:val="0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De entre as entidades que integram o setor da economia social, </w:t>
      </w:r>
      <w:r w:rsidR="0020333E">
        <w:rPr>
          <w:rFonts w:ascii="Times New Roman" w:hAnsi="Times New Roman" w:cs="Times New Roman"/>
          <w:sz w:val="24"/>
          <w:szCs w:val="24"/>
        </w:rPr>
        <w:t xml:space="preserve">neste estudo </w:t>
      </w:r>
      <w:r w:rsidRPr="00314384">
        <w:rPr>
          <w:rFonts w:ascii="Times New Roman" w:hAnsi="Times New Roman" w:cs="Times New Roman"/>
          <w:sz w:val="24"/>
          <w:szCs w:val="24"/>
        </w:rPr>
        <w:t xml:space="preserve">destacaremos aquelas que, o artigo 4.º do Decreto-Lei n.º 120/2015, de 30 de Junho enquadra no «sector social e solidário» e que correspondem ao conjunto das instituições particulares de solidariedade social, ou legalmente equiparadas, definidas no artigo 1.º do Estatuto das </w:t>
      </w:r>
      <w:r>
        <w:rPr>
          <w:rFonts w:ascii="Times New Roman" w:hAnsi="Times New Roman" w:cs="Times New Roman"/>
          <w:sz w:val="24"/>
          <w:szCs w:val="24"/>
        </w:rPr>
        <w:t>IPSS</w:t>
      </w:r>
      <w:r w:rsidRPr="00314384">
        <w:rPr>
          <w:rFonts w:ascii="Times New Roman" w:hAnsi="Times New Roman" w:cs="Times New Roman"/>
          <w:sz w:val="24"/>
          <w:szCs w:val="24"/>
        </w:rPr>
        <w:t>.</w:t>
      </w:r>
    </w:p>
    <w:p w14:paraId="505938FA" w14:textId="65BD2DDA" w:rsidR="0020333E" w:rsidRDefault="0020333E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333E">
        <w:rPr>
          <w:rFonts w:ascii="Times New Roman" w:hAnsi="Times New Roman" w:cs="Times New Roman"/>
          <w:b/>
          <w:sz w:val="24"/>
          <w:szCs w:val="24"/>
        </w:rPr>
        <w:t>Problema: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65D4">
        <w:rPr>
          <w:rFonts w:ascii="Times New Roman" w:hAnsi="Times New Roman" w:cs="Times New Roman"/>
          <w:sz w:val="24"/>
          <w:szCs w:val="24"/>
        </w:rPr>
        <w:t>Estas entidades estão perante um problema relacionado como as alterações ao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 estatuto das IPSS</w:t>
      </w:r>
      <w:r w:rsidR="00B165D4">
        <w:rPr>
          <w:rFonts w:ascii="Times New Roman" w:hAnsi="Times New Roman" w:cs="Times New Roman"/>
          <w:sz w:val="24"/>
          <w:szCs w:val="24"/>
        </w:rPr>
        <w:t xml:space="preserve"> (</w:t>
      </w:r>
      <w:r w:rsidR="00B165D4" w:rsidRPr="00314384">
        <w:rPr>
          <w:rFonts w:ascii="Times New Roman" w:hAnsi="Times New Roman" w:cs="Times New Roman"/>
          <w:sz w:val="24"/>
          <w:szCs w:val="24"/>
        </w:rPr>
        <w:t>Decreto-Lei n.º 172-A/2014, de 14 de novembro</w:t>
      </w:r>
      <w:r w:rsidR="00B165D4">
        <w:rPr>
          <w:rFonts w:ascii="Times New Roman" w:hAnsi="Times New Roman" w:cs="Times New Roman"/>
          <w:sz w:val="24"/>
          <w:szCs w:val="24"/>
        </w:rPr>
        <w:t>)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, ao exigir a publicação das contas </w:t>
      </w:r>
      <w:r w:rsidR="00B165D4">
        <w:rPr>
          <w:rFonts w:ascii="Times New Roman" w:hAnsi="Times New Roman" w:cs="Times New Roman"/>
          <w:sz w:val="24"/>
          <w:szCs w:val="24"/>
        </w:rPr>
        <w:t xml:space="preserve">indo ao encontro do que o atual normativo contabilístico refere quanto </w:t>
      </w:r>
      <w:r w:rsidR="00B165D4" w:rsidRPr="00314384">
        <w:rPr>
          <w:rFonts w:ascii="Times New Roman" w:hAnsi="Times New Roman" w:cs="Times New Roman"/>
          <w:sz w:val="24"/>
          <w:szCs w:val="24"/>
        </w:rPr>
        <w:t>à transparência, devendo as contas ser publicadas obrigatoriamente no sítio institucional eletrónico da instituição até ao dia 31 de maio do ano seguinte a que dizem respeito (art.º 14.º-A</w:t>
      </w:r>
      <w:r>
        <w:rPr>
          <w:rFonts w:ascii="Times New Roman" w:hAnsi="Times New Roman" w:cs="Times New Roman"/>
          <w:sz w:val="24"/>
          <w:szCs w:val="24"/>
        </w:rPr>
        <w:t xml:space="preserve"> do </w:t>
      </w:r>
      <w:r w:rsidRPr="0020333E">
        <w:rPr>
          <w:rFonts w:ascii="Times New Roman" w:hAnsi="Times New Roman" w:cs="Times New Roman"/>
          <w:sz w:val="24"/>
          <w:szCs w:val="24"/>
        </w:rPr>
        <w:t>Decreto-Lei n.º 172-A/2014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0E3543AF" w14:textId="020AB66C" w:rsidR="00B165D4" w:rsidRPr="00314384" w:rsidRDefault="0020333E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0333E">
        <w:rPr>
          <w:rFonts w:ascii="Times New Roman" w:hAnsi="Times New Roman" w:cs="Times New Roman"/>
          <w:b/>
          <w:sz w:val="24"/>
          <w:szCs w:val="24"/>
        </w:rPr>
        <w:t>Objetivos: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O objetivo </w:t>
      </w:r>
      <w:r w:rsidR="00B165D4">
        <w:rPr>
          <w:rFonts w:ascii="Times New Roman" w:hAnsi="Times New Roman" w:cs="Times New Roman"/>
          <w:sz w:val="24"/>
          <w:szCs w:val="24"/>
        </w:rPr>
        <w:t xml:space="preserve">principal </w:t>
      </w:r>
      <w:r w:rsidR="00B165D4" w:rsidRPr="00314384">
        <w:rPr>
          <w:rFonts w:ascii="Times New Roman" w:hAnsi="Times New Roman" w:cs="Times New Roman"/>
          <w:sz w:val="24"/>
          <w:szCs w:val="24"/>
        </w:rPr>
        <w:t>deste trabalho é</w:t>
      </w:r>
      <w:r w:rsidR="00B165D4">
        <w:rPr>
          <w:rFonts w:ascii="Times New Roman" w:hAnsi="Times New Roman" w:cs="Times New Roman"/>
          <w:sz w:val="24"/>
          <w:szCs w:val="24"/>
        </w:rPr>
        <w:t xml:space="preserve"> 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de sensibilizar as IPSS para as exigências legais que decorrem da recente alteração ao Estatuto que as enquadra. O objetivo </w:t>
      </w:r>
      <w:r w:rsidR="00B165D4">
        <w:rPr>
          <w:rFonts w:ascii="Times New Roman" w:hAnsi="Times New Roman" w:cs="Times New Roman"/>
          <w:sz w:val="24"/>
          <w:szCs w:val="24"/>
        </w:rPr>
        <w:t>específico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 deste estudo consiste em averiguar qual o nível de transparência das IPSS na Região Autónoma da Madeira (RAM). Para a realização deste estudo, a população-alvo são as 55 entidades, com o estatuto de IPSS, registadas na RAM. </w:t>
      </w:r>
    </w:p>
    <w:p w14:paraId="514DCDA0" w14:textId="04AF7064" w:rsidR="00B165D4" w:rsidRDefault="0020333E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0333E">
        <w:rPr>
          <w:rFonts w:ascii="Times New Roman" w:hAnsi="Times New Roman" w:cs="Times New Roman"/>
          <w:b/>
          <w:sz w:val="24"/>
          <w:szCs w:val="24"/>
        </w:rPr>
        <w:t>Metodologia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Para </w:t>
      </w:r>
      <w:r w:rsidR="00B165D4">
        <w:rPr>
          <w:rFonts w:ascii="Times New Roman" w:hAnsi="Times New Roman" w:cs="Times New Roman"/>
          <w:sz w:val="24"/>
          <w:szCs w:val="24"/>
        </w:rPr>
        <w:t xml:space="preserve">a </w:t>
      </w:r>
      <w:r w:rsidR="00B165D4" w:rsidRPr="00314384">
        <w:rPr>
          <w:rFonts w:ascii="Times New Roman" w:hAnsi="Times New Roman" w:cs="Times New Roman"/>
          <w:sz w:val="24"/>
          <w:szCs w:val="24"/>
        </w:rPr>
        <w:t>obtenção d</w:t>
      </w:r>
      <w:r w:rsidR="00B165D4">
        <w:rPr>
          <w:rFonts w:ascii="Times New Roman" w:hAnsi="Times New Roman" w:cs="Times New Roman"/>
          <w:sz w:val="24"/>
          <w:szCs w:val="24"/>
        </w:rPr>
        <w:t>os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 resultados são conjugados dois métodos de investigação</w:t>
      </w:r>
      <w:r w:rsidR="00B165D4">
        <w:rPr>
          <w:rFonts w:ascii="Times New Roman" w:hAnsi="Times New Roman" w:cs="Times New Roman"/>
          <w:sz w:val="24"/>
          <w:szCs w:val="24"/>
        </w:rPr>
        <w:t>: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 método quantitativo e método qualitativo. O método quantitativo tem como objetivos a identificação e apresentação dos dados a partir da amostra apresentada, para</w:t>
      </w:r>
      <w:r w:rsidR="00B165D4">
        <w:rPr>
          <w:rFonts w:ascii="Times New Roman" w:hAnsi="Times New Roman" w:cs="Times New Roman"/>
          <w:sz w:val="24"/>
          <w:szCs w:val="24"/>
        </w:rPr>
        <w:t>,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 de seguida</w:t>
      </w:r>
      <w:r w:rsidR="00B165D4">
        <w:rPr>
          <w:rFonts w:ascii="Times New Roman" w:hAnsi="Times New Roman" w:cs="Times New Roman"/>
          <w:sz w:val="24"/>
          <w:szCs w:val="24"/>
        </w:rPr>
        <w:t>,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 realizar uma análise estatística</w:t>
      </w:r>
      <w:r w:rsidR="00B165D4">
        <w:rPr>
          <w:rFonts w:ascii="Times New Roman" w:hAnsi="Times New Roman" w:cs="Times New Roman"/>
          <w:sz w:val="24"/>
          <w:szCs w:val="24"/>
        </w:rPr>
        <w:t xml:space="preserve">, centrada 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nas hipóteses </w:t>
      </w:r>
      <w:r w:rsidR="00B165D4">
        <w:rPr>
          <w:rFonts w:ascii="Times New Roman" w:hAnsi="Times New Roman" w:cs="Times New Roman"/>
          <w:sz w:val="24"/>
          <w:szCs w:val="24"/>
        </w:rPr>
        <w:t>formuladas</w:t>
      </w:r>
      <w:r w:rsidR="00B165D4" w:rsidRPr="00314384">
        <w:rPr>
          <w:rFonts w:ascii="Times New Roman" w:hAnsi="Times New Roman" w:cs="Times New Roman"/>
          <w:sz w:val="24"/>
          <w:szCs w:val="24"/>
        </w:rPr>
        <w:t xml:space="preserve">. O método qualitativo tem como principal finalidade o desenvolvimento de conceitos e </w:t>
      </w:r>
      <w:r w:rsidR="00B165D4">
        <w:rPr>
          <w:rFonts w:ascii="Times New Roman" w:hAnsi="Times New Roman" w:cs="Times New Roman"/>
          <w:sz w:val="24"/>
          <w:szCs w:val="24"/>
        </w:rPr>
        <w:t xml:space="preserve">a </w:t>
      </w:r>
      <w:r w:rsidR="00B165D4" w:rsidRPr="00314384">
        <w:rPr>
          <w:rFonts w:ascii="Times New Roman" w:hAnsi="Times New Roman" w:cs="Times New Roman"/>
          <w:sz w:val="24"/>
          <w:szCs w:val="24"/>
        </w:rPr>
        <w:t>descr</w:t>
      </w:r>
      <w:r w:rsidR="00B165D4">
        <w:rPr>
          <w:rFonts w:ascii="Times New Roman" w:hAnsi="Times New Roman" w:cs="Times New Roman"/>
          <w:sz w:val="24"/>
          <w:szCs w:val="24"/>
        </w:rPr>
        <w:t xml:space="preserve">ição de </w:t>
      </w:r>
      <w:r w:rsidR="00B165D4" w:rsidRPr="00314384">
        <w:rPr>
          <w:rFonts w:ascii="Times New Roman" w:hAnsi="Times New Roman" w:cs="Times New Roman"/>
          <w:sz w:val="24"/>
          <w:szCs w:val="24"/>
        </w:rPr>
        <w:t>realidades, utilizando as entrevistas, a observação direta e a atenção aos contextos.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</w:rPr>
        <w:t>Com base nesta metodologia</w:t>
      </w:r>
      <w:r w:rsidRPr="0020333E">
        <w:rPr>
          <w:rFonts w:ascii="Times New Roman" w:hAnsi="Times New Roman" w:cs="Times New Roman"/>
          <w:sz w:val="24"/>
        </w:rPr>
        <w:t xml:space="preserve">, vamos responder as seguintes questões de investigação: (i) As IPSS da RAM têm sítio institucional eletrónico? (ii) As IPSS da RAM publicam as suas contas nesse sítio institucional eletrónico? (iii) Quais os tipos de contas que publicam e há quanto tempo é que publicam? </w:t>
      </w:r>
    </w:p>
    <w:p w14:paraId="1B5C24A1" w14:textId="77777777" w:rsidR="0020333E" w:rsidRPr="0020333E" w:rsidRDefault="0020333E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14:paraId="3B3A5061" w14:textId="56444802" w:rsidR="00A801EF" w:rsidRPr="00A801EF" w:rsidRDefault="008E1FA2" w:rsidP="008B2786">
      <w:pPr>
        <w:spacing w:before="120" w:after="120"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2. </w:t>
      </w:r>
      <w:r w:rsidR="00B161BD">
        <w:rPr>
          <w:rFonts w:ascii="Times New Roman" w:hAnsi="Times New Roman" w:cs="Times New Roman"/>
          <w:b/>
          <w:sz w:val="24"/>
        </w:rPr>
        <w:t>Enquadramento contabilístico e jurídico</w:t>
      </w:r>
    </w:p>
    <w:p w14:paraId="420CF7AE" w14:textId="4CD5A57B" w:rsidR="009C1E40" w:rsidRPr="00314384" w:rsidRDefault="009C1E40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Nos termos da </w:t>
      </w:r>
      <w:r w:rsidRPr="00314384">
        <w:rPr>
          <w:rFonts w:ascii="Times New Roman" w:hAnsi="Times New Roman" w:cs="Times New Roman"/>
          <w:i/>
          <w:sz w:val="24"/>
          <w:szCs w:val="24"/>
        </w:rPr>
        <w:t>Lei de Bases da Economia Social</w:t>
      </w:r>
      <w:r w:rsidRPr="00314384">
        <w:rPr>
          <w:rFonts w:ascii="Times New Roman" w:hAnsi="Times New Roman" w:cs="Times New Roman"/>
          <w:sz w:val="24"/>
          <w:szCs w:val="24"/>
        </w:rPr>
        <w:t xml:space="preserve"> (Lei n.º 30/2013, de 8 de maio, LBES)</w:t>
      </w:r>
      <w:r w:rsidR="000337C2">
        <w:rPr>
          <w:rFonts w:ascii="Times New Roman" w:hAnsi="Times New Roman" w:cs="Times New Roman"/>
          <w:sz w:val="24"/>
          <w:szCs w:val="24"/>
        </w:rPr>
        <w:t>,</w:t>
      </w:r>
      <w:r w:rsidRPr="00314384">
        <w:rPr>
          <w:rFonts w:ascii="Times New Roman" w:hAnsi="Times New Roman" w:cs="Times New Roman"/>
          <w:sz w:val="24"/>
          <w:szCs w:val="24"/>
        </w:rPr>
        <w:t xml:space="preserve"> a noção de economia social está associada a um específico objeto social, traduzido no exercício de uma atividade económico-social, a qual terá por finalidade «prosseguir o interesse geral da sociedade, quer diretamente quer através da prossecução dos interesses dos seus membros, </w:t>
      </w:r>
      <w:r w:rsidRPr="00314384">
        <w:rPr>
          <w:rFonts w:ascii="Times New Roman" w:hAnsi="Times New Roman" w:cs="Times New Roman"/>
          <w:sz w:val="24"/>
          <w:szCs w:val="24"/>
        </w:rPr>
        <w:lastRenderedPageBreak/>
        <w:t>utilizadores e beneficiários, quando socialmente relevantes». Desta norma resulta que o legislador associa a noção de economia social a um específico objeto social, traduzido no exercício de uma atividade económico-social, a qual terá por finalidade a prossecução de um interesse geral por parte das entidades da economia socia (n.º1 do art. 2.º). Este «interesse geral» prende-se não apenas com o facto de estas entidades prosseguirem fins sociais, surgindo como parceiros do Estado Social e cooperando com este na garantia de um mínimo vital de direitos económicos, sociais e culturais dos cidadãos, mas também com o seu peculiar modo de organização e funcionamento, distinto do setor público e do setor privado (Meira, 2013)</w:t>
      </w:r>
      <w:r w:rsidR="00726AC3" w:rsidRPr="00314384">
        <w:rPr>
          <w:rFonts w:ascii="Times New Roman" w:hAnsi="Times New Roman" w:cs="Times New Roman"/>
          <w:sz w:val="24"/>
          <w:szCs w:val="24"/>
        </w:rPr>
        <w:t>.</w:t>
      </w:r>
    </w:p>
    <w:p w14:paraId="3233EF89" w14:textId="4AC32645" w:rsidR="00726AC3" w:rsidRPr="00314384" w:rsidRDefault="00766CD4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</w:t>
      </w:r>
      <w:r w:rsidR="009C1E40" w:rsidRPr="00314384">
        <w:rPr>
          <w:rFonts w:ascii="Times New Roman" w:hAnsi="Times New Roman" w:cs="Times New Roman"/>
          <w:sz w:val="24"/>
          <w:szCs w:val="24"/>
        </w:rPr>
        <w:t xml:space="preserve">setor </w:t>
      </w:r>
      <w:r w:rsidR="0082362C" w:rsidRPr="00314384">
        <w:rPr>
          <w:rFonts w:ascii="Times New Roman" w:hAnsi="Times New Roman" w:cs="Times New Roman"/>
          <w:sz w:val="24"/>
          <w:szCs w:val="24"/>
        </w:rPr>
        <w:t>da</w:t>
      </w:r>
      <w:r w:rsidR="0062335F" w:rsidRPr="00314384">
        <w:rPr>
          <w:rFonts w:ascii="Times New Roman" w:hAnsi="Times New Roman" w:cs="Times New Roman"/>
          <w:sz w:val="24"/>
          <w:szCs w:val="24"/>
        </w:rPr>
        <w:t xml:space="preserve"> Economia Social </w:t>
      </w:r>
      <w:r w:rsidR="00DF68A6" w:rsidRPr="00314384">
        <w:rPr>
          <w:rFonts w:ascii="Times New Roman" w:hAnsi="Times New Roman" w:cs="Times New Roman"/>
          <w:sz w:val="24"/>
          <w:szCs w:val="24"/>
        </w:rPr>
        <w:t>é</w:t>
      </w:r>
      <w:r w:rsidR="00E6040D" w:rsidRPr="00314384">
        <w:rPr>
          <w:rFonts w:ascii="Times New Roman" w:hAnsi="Times New Roman" w:cs="Times New Roman"/>
          <w:sz w:val="24"/>
          <w:szCs w:val="24"/>
        </w:rPr>
        <w:t xml:space="preserve"> um setor que contribui para o crescimento sustentável, para a criação de emprego e para uma igualdade de distribuição dos rendimentos e da riqueza. 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Reúne em si todas as </w:t>
      </w:r>
      <w:r w:rsidR="00301EF8" w:rsidRPr="00314384">
        <w:rPr>
          <w:rFonts w:ascii="Times New Roman" w:hAnsi="Times New Roman" w:cs="Times New Roman"/>
          <w:sz w:val="24"/>
          <w:szCs w:val="24"/>
        </w:rPr>
        <w:t>condições para</w:t>
      </w:r>
      <w:r w:rsidR="00E6040D" w:rsidRPr="00314384">
        <w:rPr>
          <w:rFonts w:ascii="Times New Roman" w:hAnsi="Times New Roman" w:cs="Times New Roman"/>
          <w:sz w:val="24"/>
          <w:szCs w:val="24"/>
        </w:rPr>
        <w:t xml:space="preserve"> p</w:t>
      </w:r>
      <w:r w:rsidR="0082362C" w:rsidRPr="00314384">
        <w:rPr>
          <w:rFonts w:ascii="Times New Roman" w:hAnsi="Times New Roman" w:cs="Times New Roman"/>
          <w:sz w:val="24"/>
          <w:szCs w:val="24"/>
        </w:rPr>
        <w:t>o</w:t>
      </w:r>
      <w:r w:rsidR="00E6040D" w:rsidRPr="00314384">
        <w:rPr>
          <w:rFonts w:ascii="Times New Roman" w:hAnsi="Times New Roman" w:cs="Times New Roman"/>
          <w:sz w:val="24"/>
          <w:szCs w:val="24"/>
        </w:rPr>
        <w:t xml:space="preserve">der ajustar tanto a rentabilidade, como a inserção social e os sistemas de governação democráticos, trabalhando em conjunto com os setores público e privado na prestação de serviços apropriados às necessidades 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dos seus membros e da comunidade </w:t>
      </w:r>
      <w:r w:rsidR="00E6040D" w:rsidRPr="00314384">
        <w:rPr>
          <w:rFonts w:ascii="Times New Roman" w:hAnsi="Times New Roman" w:cs="Times New Roman"/>
          <w:sz w:val="24"/>
          <w:szCs w:val="24"/>
        </w:rPr>
        <w:t>(Monzón &amp; Chaves, 2012).</w:t>
      </w:r>
    </w:p>
    <w:p w14:paraId="3E43F857" w14:textId="22EBFC5A" w:rsidR="00712662" w:rsidRPr="00314384" w:rsidRDefault="0071266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>Em 2016, foi publicada a Conta Satélite da Economia Social 2013, um projeto desenvolvido pelo Instituto Nacional de Estatística em parceria com a Cooperativa Antóni</w:t>
      </w:r>
      <w:r w:rsidR="002A66AD">
        <w:rPr>
          <w:rFonts w:ascii="Times New Roman" w:hAnsi="Times New Roman" w:cs="Times New Roman"/>
          <w:sz w:val="24"/>
          <w:szCs w:val="24"/>
        </w:rPr>
        <w:t>o Sérgio para a Economia Social. E</w:t>
      </w:r>
      <w:r w:rsidRPr="00314384">
        <w:rPr>
          <w:rFonts w:ascii="Times New Roman" w:hAnsi="Times New Roman" w:cs="Times New Roman"/>
          <w:sz w:val="24"/>
          <w:szCs w:val="24"/>
        </w:rPr>
        <w:t>ste projeto veio atualizar informações estatísticas tanto do sector da Economia Social bem como de todas as entidad</w:t>
      </w:r>
      <w:r w:rsidR="00314384" w:rsidRPr="00314384">
        <w:rPr>
          <w:rFonts w:ascii="Times New Roman" w:hAnsi="Times New Roman" w:cs="Times New Roman"/>
          <w:sz w:val="24"/>
          <w:szCs w:val="24"/>
        </w:rPr>
        <w:t>es pertencentes a este mesmo se</w:t>
      </w:r>
      <w:r w:rsidRPr="00314384">
        <w:rPr>
          <w:rFonts w:ascii="Times New Roman" w:hAnsi="Times New Roman" w:cs="Times New Roman"/>
          <w:sz w:val="24"/>
          <w:szCs w:val="24"/>
        </w:rPr>
        <w:t>tor.</w:t>
      </w:r>
    </w:p>
    <w:p w14:paraId="509B05C9" w14:textId="3B9DE80F" w:rsidR="00712662" w:rsidRPr="00314384" w:rsidRDefault="00817D0F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o universo de mais de 61 mil unidades de Economia Social, foram consideradas 5.584 entidades com o estatuto de IPSS ou equiparadas (cerca de 9% do total), sendo estas maioritariamente </w:t>
      </w:r>
      <w:r w:rsidR="001D5250" w:rsidRPr="00314384">
        <w:rPr>
          <w:rFonts w:ascii="Times New Roman" w:hAnsi="Times New Roman" w:cs="Times New Roman"/>
          <w:sz w:val="24"/>
          <w:szCs w:val="24"/>
        </w:rPr>
        <w:t>constituídas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por </w:t>
      </w:r>
      <w:r w:rsidR="000019D9" w:rsidRPr="000019D9">
        <w:rPr>
          <w:rFonts w:ascii="Times New Roman" w:hAnsi="Times New Roman" w:cs="Times New Roman"/>
          <w:sz w:val="24"/>
          <w:szCs w:val="24"/>
        </w:rPr>
        <w:t xml:space="preserve">Associações com Fins Altruísticos 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(84,7%), seguindo-se as </w:t>
      </w:r>
      <w:r w:rsidR="001D5250" w:rsidRPr="00314384">
        <w:rPr>
          <w:rFonts w:ascii="Times New Roman" w:hAnsi="Times New Roman" w:cs="Times New Roman"/>
          <w:sz w:val="24"/>
          <w:szCs w:val="24"/>
        </w:rPr>
        <w:t>Misericórdias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(6,9%), as </w:t>
      </w:r>
      <w:r w:rsidR="001D5250" w:rsidRPr="00314384">
        <w:rPr>
          <w:rFonts w:ascii="Times New Roman" w:hAnsi="Times New Roman" w:cs="Times New Roman"/>
          <w:sz w:val="24"/>
          <w:szCs w:val="24"/>
        </w:rPr>
        <w:t>Fundações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(3,9%), as Cooperativas (2,4%) e as </w:t>
      </w:r>
      <w:r w:rsidR="001D5250" w:rsidRPr="00314384">
        <w:rPr>
          <w:rFonts w:ascii="Times New Roman" w:hAnsi="Times New Roman" w:cs="Times New Roman"/>
          <w:sz w:val="24"/>
          <w:szCs w:val="24"/>
        </w:rPr>
        <w:t>Associações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Mutualistas (1,9%).</w:t>
      </w:r>
    </w:p>
    <w:p w14:paraId="6639C43D" w14:textId="401CEBA1" w:rsidR="00712662" w:rsidRPr="00314384" w:rsidRDefault="0071266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As </w:t>
      </w:r>
      <w:r w:rsidR="00766CD4" w:rsidRPr="00314384">
        <w:rPr>
          <w:rFonts w:ascii="Times New Roman" w:hAnsi="Times New Roman" w:cs="Times New Roman"/>
          <w:sz w:val="24"/>
          <w:szCs w:val="24"/>
        </w:rPr>
        <w:t xml:space="preserve">Instituições Particulares de Solidariedade Social (IPSS) </w:t>
      </w:r>
      <w:r w:rsidRPr="00314384">
        <w:rPr>
          <w:rFonts w:ascii="Times New Roman" w:hAnsi="Times New Roman" w:cs="Times New Roman"/>
          <w:sz w:val="24"/>
          <w:szCs w:val="24"/>
        </w:rPr>
        <w:t xml:space="preserve">desenvolveram as suas </w:t>
      </w:r>
      <w:r w:rsidR="001D5250" w:rsidRPr="00314384">
        <w:rPr>
          <w:rFonts w:ascii="Times New Roman" w:hAnsi="Times New Roman" w:cs="Times New Roman"/>
          <w:sz w:val="24"/>
          <w:szCs w:val="24"/>
        </w:rPr>
        <w:t>atividades</w:t>
      </w:r>
      <w:r w:rsidRPr="00314384">
        <w:rPr>
          <w:rFonts w:ascii="Times New Roman" w:hAnsi="Times New Roman" w:cs="Times New Roman"/>
          <w:sz w:val="24"/>
          <w:szCs w:val="24"/>
        </w:rPr>
        <w:t xml:space="preserve"> sobretudo nas áreas de Ação e segurança social (76,4% do total de IPSS), destacando-se ainda os Cultos e as </w:t>
      </w:r>
      <w:r w:rsidR="001D5250" w:rsidRPr="00314384">
        <w:rPr>
          <w:rFonts w:ascii="Times New Roman" w:hAnsi="Times New Roman" w:cs="Times New Roman"/>
          <w:sz w:val="24"/>
          <w:szCs w:val="24"/>
        </w:rPr>
        <w:t>congregações</w:t>
      </w:r>
      <w:r w:rsidRPr="00314384">
        <w:rPr>
          <w:rFonts w:ascii="Times New Roman" w:hAnsi="Times New Roman" w:cs="Times New Roman"/>
          <w:sz w:val="24"/>
          <w:szCs w:val="24"/>
        </w:rPr>
        <w:t xml:space="preserve"> (8,0%) e a Cultura, desporto e recreio (6,4%).</w:t>
      </w:r>
    </w:p>
    <w:p w14:paraId="4DC82F56" w14:textId="1C572485" w:rsidR="00712662" w:rsidRPr="00314384" w:rsidRDefault="0071266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Em 2013, as IPSS representaram 32,9% da produção, 43% do VAB, 44,1% das renumerações, 27,8% dos outros </w:t>
      </w:r>
      <w:r w:rsidR="001D5250" w:rsidRPr="00314384">
        <w:rPr>
          <w:rFonts w:ascii="Times New Roman" w:hAnsi="Times New Roman" w:cs="Times New Roman"/>
          <w:sz w:val="24"/>
          <w:szCs w:val="24"/>
        </w:rPr>
        <w:t>subsídios</w:t>
      </w:r>
      <w:r w:rsidRPr="00314384">
        <w:rPr>
          <w:rFonts w:ascii="Times New Roman" w:hAnsi="Times New Roman" w:cs="Times New Roman"/>
          <w:sz w:val="24"/>
          <w:szCs w:val="24"/>
        </w:rPr>
        <w:t xml:space="preserve"> à produção</w:t>
      </w:r>
      <w:r w:rsidR="002A66AD">
        <w:rPr>
          <w:rFonts w:ascii="Times New Roman" w:hAnsi="Times New Roman" w:cs="Times New Roman"/>
          <w:sz w:val="24"/>
          <w:szCs w:val="24"/>
        </w:rPr>
        <w:t xml:space="preserve"> e 60,4% do emprego remunerado </w:t>
      </w:r>
      <w:r w:rsidRPr="00314384">
        <w:rPr>
          <w:rFonts w:ascii="Times New Roman" w:hAnsi="Times New Roman" w:cs="Times New Roman"/>
          <w:sz w:val="24"/>
          <w:szCs w:val="24"/>
        </w:rPr>
        <w:t>da Economia Social.</w:t>
      </w:r>
    </w:p>
    <w:p w14:paraId="5DA61B27" w14:textId="74249E5C" w:rsidR="00726AC3" w:rsidRPr="00314384" w:rsidRDefault="00726AC3" w:rsidP="008B2786">
      <w:pPr>
        <w:autoSpaceDE w:val="0"/>
        <w:autoSpaceDN w:val="0"/>
        <w:adjustRightInd w:val="0"/>
        <w:spacing w:before="120" w:after="12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De entre as entidades que integram o </w:t>
      </w:r>
      <w:r w:rsidR="00301EF8" w:rsidRPr="00314384">
        <w:rPr>
          <w:rFonts w:ascii="Times New Roman" w:hAnsi="Times New Roman" w:cs="Times New Roman"/>
          <w:sz w:val="24"/>
          <w:szCs w:val="24"/>
        </w:rPr>
        <w:t>setor</w:t>
      </w:r>
      <w:r w:rsidRPr="00314384">
        <w:rPr>
          <w:rFonts w:ascii="Times New Roman" w:hAnsi="Times New Roman" w:cs="Times New Roman"/>
          <w:sz w:val="24"/>
          <w:szCs w:val="24"/>
        </w:rPr>
        <w:t xml:space="preserve"> da economia social, destacaremos aquelas que, o artigo 4.º do Decreto-Lei n.º 120/2015, de 30 de Junho </w:t>
      </w:r>
      <w:r w:rsidR="00314384" w:rsidRPr="00314384">
        <w:rPr>
          <w:rFonts w:ascii="Times New Roman" w:hAnsi="Times New Roman" w:cs="Times New Roman"/>
          <w:sz w:val="24"/>
          <w:szCs w:val="24"/>
        </w:rPr>
        <w:t>enquadra no</w:t>
      </w:r>
      <w:r w:rsidRPr="00314384">
        <w:rPr>
          <w:rFonts w:ascii="Times New Roman" w:hAnsi="Times New Roman" w:cs="Times New Roman"/>
          <w:sz w:val="24"/>
          <w:szCs w:val="24"/>
        </w:rPr>
        <w:t xml:space="preserve"> «sector social e </w:t>
      </w:r>
      <w:r w:rsidRPr="00314384">
        <w:rPr>
          <w:rFonts w:ascii="Times New Roman" w:hAnsi="Times New Roman" w:cs="Times New Roman"/>
          <w:sz w:val="24"/>
          <w:szCs w:val="24"/>
        </w:rPr>
        <w:lastRenderedPageBreak/>
        <w:t>solidário» e qu</w:t>
      </w:r>
      <w:r w:rsidR="00301EF8" w:rsidRPr="00314384">
        <w:rPr>
          <w:rFonts w:ascii="Times New Roman" w:hAnsi="Times New Roman" w:cs="Times New Roman"/>
          <w:sz w:val="24"/>
          <w:szCs w:val="24"/>
        </w:rPr>
        <w:t xml:space="preserve">e </w:t>
      </w:r>
      <w:r w:rsidRPr="00314384">
        <w:rPr>
          <w:rFonts w:ascii="Times New Roman" w:hAnsi="Times New Roman" w:cs="Times New Roman"/>
          <w:sz w:val="24"/>
          <w:szCs w:val="24"/>
        </w:rPr>
        <w:t>correspondem ao conjunto das instituições particulares de solidariedade social, ou</w:t>
      </w:r>
      <w:r w:rsidR="00301EF8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Pr="00314384">
        <w:rPr>
          <w:rFonts w:ascii="Times New Roman" w:hAnsi="Times New Roman" w:cs="Times New Roman"/>
          <w:sz w:val="24"/>
          <w:szCs w:val="24"/>
        </w:rPr>
        <w:t>legalmente equiparadas, definidas no artigo 1.º do Estatuto</w:t>
      </w:r>
      <w:r w:rsidR="00301EF8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Pr="00314384">
        <w:rPr>
          <w:rFonts w:ascii="Times New Roman" w:hAnsi="Times New Roman" w:cs="Times New Roman"/>
          <w:sz w:val="24"/>
          <w:szCs w:val="24"/>
        </w:rPr>
        <w:t xml:space="preserve">das </w:t>
      </w:r>
      <w:r w:rsidR="00D478DE">
        <w:rPr>
          <w:rFonts w:ascii="Times New Roman" w:hAnsi="Times New Roman" w:cs="Times New Roman"/>
          <w:sz w:val="24"/>
          <w:szCs w:val="24"/>
        </w:rPr>
        <w:t>IPSS</w:t>
      </w:r>
      <w:r w:rsidR="00301EF8" w:rsidRPr="00314384">
        <w:rPr>
          <w:rFonts w:ascii="Times New Roman" w:hAnsi="Times New Roman" w:cs="Times New Roman"/>
          <w:sz w:val="24"/>
          <w:szCs w:val="24"/>
        </w:rPr>
        <w:t>.</w:t>
      </w:r>
    </w:p>
    <w:p w14:paraId="37D1617B" w14:textId="0B019F8D" w:rsidR="00E6040D" w:rsidRPr="00314384" w:rsidRDefault="00766CD4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Dado </w:t>
      </w:r>
      <w:r w:rsidR="000019D9">
        <w:rPr>
          <w:rFonts w:ascii="Times New Roman" w:hAnsi="Times New Roman" w:cs="Times New Roman"/>
          <w:sz w:val="24"/>
          <w:szCs w:val="24"/>
        </w:rPr>
        <w:t xml:space="preserve">o </w:t>
      </w:r>
      <w:r w:rsidR="000019D9" w:rsidRPr="00314384">
        <w:rPr>
          <w:rFonts w:ascii="Times New Roman" w:hAnsi="Times New Roman" w:cs="Times New Roman"/>
          <w:sz w:val="24"/>
          <w:szCs w:val="24"/>
        </w:rPr>
        <w:t>contexto</w:t>
      </w:r>
      <w:r w:rsidR="0020333E">
        <w:rPr>
          <w:rFonts w:ascii="Times New Roman" w:hAnsi="Times New Roman" w:cs="Times New Roman"/>
          <w:sz w:val="24"/>
          <w:szCs w:val="24"/>
        </w:rPr>
        <w:t xml:space="preserve"> do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 Estado social</w:t>
      </w:r>
      <w:r>
        <w:rPr>
          <w:rFonts w:ascii="Times New Roman" w:hAnsi="Times New Roman" w:cs="Times New Roman"/>
          <w:sz w:val="24"/>
          <w:szCs w:val="24"/>
        </w:rPr>
        <w:t xml:space="preserve"> em que vivemos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, este </w:t>
      </w:r>
      <w:r>
        <w:rPr>
          <w:rFonts w:ascii="Times New Roman" w:hAnsi="Times New Roman" w:cs="Times New Roman"/>
          <w:sz w:val="24"/>
          <w:szCs w:val="24"/>
        </w:rPr>
        <w:t xml:space="preserve">vê-se impedido de exercer 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algumas das </w:t>
      </w:r>
      <w:r w:rsidR="00301EF8" w:rsidRPr="00314384">
        <w:rPr>
          <w:rFonts w:ascii="Times New Roman" w:hAnsi="Times New Roman" w:cs="Times New Roman"/>
          <w:sz w:val="24"/>
          <w:szCs w:val="24"/>
        </w:rPr>
        <w:t>suas competências</w:t>
      </w:r>
      <w:r w:rsidR="00E6040D" w:rsidRPr="00314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na área social, </w:t>
      </w:r>
      <w:r w:rsidR="0020333E">
        <w:rPr>
          <w:rFonts w:ascii="Times New Roman" w:hAnsi="Times New Roman" w:cs="Times New Roman"/>
          <w:sz w:val="24"/>
          <w:szCs w:val="24"/>
        </w:rPr>
        <w:t>sendo</w:t>
      </w:r>
      <w:r>
        <w:rPr>
          <w:rFonts w:ascii="Times New Roman" w:hAnsi="Times New Roman" w:cs="Times New Roman"/>
          <w:sz w:val="24"/>
          <w:szCs w:val="24"/>
        </w:rPr>
        <w:t xml:space="preserve"> o setor da </w:t>
      </w:r>
      <w:r w:rsidR="0062335F" w:rsidRPr="00314384">
        <w:rPr>
          <w:rFonts w:ascii="Times New Roman" w:hAnsi="Times New Roman" w:cs="Times New Roman"/>
          <w:sz w:val="24"/>
          <w:szCs w:val="24"/>
        </w:rPr>
        <w:t>Economia Social</w:t>
      </w:r>
      <w:r w:rsidR="00E6040D" w:rsidRPr="00314384">
        <w:rPr>
          <w:rFonts w:ascii="Times New Roman" w:hAnsi="Times New Roman" w:cs="Times New Roman"/>
          <w:sz w:val="24"/>
          <w:szCs w:val="24"/>
        </w:rPr>
        <w:t>, por intermédio</w:t>
      </w:r>
      <w:r>
        <w:rPr>
          <w:rFonts w:ascii="Times New Roman" w:hAnsi="Times New Roman" w:cs="Times New Roman"/>
          <w:sz w:val="24"/>
          <w:szCs w:val="24"/>
        </w:rPr>
        <w:t xml:space="preserve"> das suas entidade</w:t>
      </w:r>
      <w:r w:rsidR="0020333E">
        <w:rPr>
          <w:rFonts w:ascii="Times New Roman" w:hAnsi="Times New Roman" w:cs="Times New Roman"/>
          <w:sz w:val="24"/>
          <w:szCs w:val="24"/>
        </w:rPr>
        <w:t>s, com particular destaque para</w:t>
      </w:r>
      <w:r>
        <w:rPr>
          <w:rFonts w:ascii="Times New Roman" w:hAnsi="Times New Roman" w:cs="Times New Roman"/>
          <w:sz w:val="24"/>
          <w:szCs w:val="24"/>
        </w:rPr>
        <w:t xml:space="preserve"> as </w:t>
      </w:r>
      <w:r w:rsidR="00E6040D" w:rsidRPr="00314384">
        <w:rPr>
          <w:rFonts w:ascii="Times New Roman" w:hAnsi="Times New Roman" w:cs="Times New Roman"/>
          <w:sz w:val="24"/>
          <w:szCs w:val="24"/>
        </w:rPr>
        <w:t>das</w:t>
      </w:r>
      <w:r>
        <w:rPr>
          <w:rFonts w:ascii="Times New Roman" w:hAnsi="Times New Roman" w:cs="Times New Roman"/>
          <w:sz w:val="24"/>
          <w:szCs w:val="24"/>
        </w:rPr>
        <w:t xml:space="preserve"> IPSS</w:t>
      </w:r>
      <w:r w:rsidR="00E6040D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20333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procurar soluções para muitos dos </w:t>
      </w:r>
      <w:r w:rsidR="00301EF8" w:rsidRPr="00314384">
        <w:rPr>
          <w:rFonts w:ascii="Times New Roman" w:hAnsi="Times New Roman" w:cs="Times New Roman"/>
          <w:sz w:val="24"/>
          <w:szCs w:val="24"/>
        </w:rPr>
        <w:t>problemas</w:t>
      </w:r>
      <w:r w:rsidR="00E6040D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0019D9" w:rsidRPr="00314384">
        <w:rPr>
          <w:rFonts w:ascii="Times New Roman" w:hAnsi="Times New Roman" w:cs="Times New Roman"/>
          <w:sz w:val="24"/>
          <w:szCs w:val="24"/>
        </w:rPr>
        <w:t>sociais</w:t>
      </w:r>
      <w:r w:rsidR="000019D9">
        <w:rPr>
          <w:rFonts w:ascii="Times New Roman" w:hAnsi="Times New Roman" w:cs="Times New Roman"/>
          <w:sz w:val="24"/>
          <w:szCs w:val="24"/>
        </w:rPr>
        <w:t>.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 Na maioria dos casos, o Estado </w:t>
      </w:r>
      <w:r w:rsidR="00301EF8" w:rsidRPr="00314384">
        <w:rPr>
          <w:rFonts w:ascii="Times New Roman" w:hAnsi="Times New Roman" w:cs="Times New Roman"/>
          <w:sz w:val="24"/>
          <w:szCs w:val="24"/>
        </w:rPr>
        <w:t>fá-lo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 mediante uma relação de parceria com </w:t>
      </w:r>
      <w:r w:rsidR="0020333E">
        <w:rPr>
          <w:rFonts w:ascii="Times New Roman" w:hAnsi="Times New Roman" w:cs="Times New Roman"/>
          <w:sz w:val="24"/>
          <w:szCs w:val="24"/>
        </w:rPr>
        <w:t>estas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 entidades d</w:t>
      </w:r>
      <w:r>
        <w:rPr>
          <w:rFonts w:ascii="Times New Roman" w:hAnsi="Times New Roman" w:cs="Times New Roman"/>
          <w:sz w:val="24"/>
          <w:szCs w:val="24"/>
        </w:rPr>
        <w:t>o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 setor da </w:t>
      </w:r>
      <w:r w:rsidR="005344C9">
        <w:rPr>
          <w:rFonts w:ascii="Times New Roman" w:hAnsi="Times New Roman" w:cs="Times New Roman"/>
          <w:sz w:val="24"/>
          <w:szCs w:val="24"/>
        </w:rPr>
        <w:t>E</w:t>
      </w:r>
      <w:r w:rsidR="0082362C" w:rsidRPr="00314384">
        <w:rPr>
          <w:rFonts w:ascii="Times New Roman" w:hAnsi="Times New Roman" w:cs="Times New Roman"/>
          <w:sz w:val="24"/>
          <w:szCs w:val="24"/>
        </w:rPr>
        <w:t xml:space="preserve">conomia </w:t>
      </w:r>
      <w:r w:rsidR="005344C9">
        <w:rPr>
          <w:rFonts w:ascii="Times New Roman" w:hAnsi="Times New Roman" w:cs="Times New Roman"/>
          <w:sz w:val="24"/>
          <w:szCs w:val="24"/>
        </w:rPr>
        <w:t>S</w:t>
      </w:r>
      <w:r w:rsidR="0082362C" w:rsidRPr="00314384">
        <w:rPr>
          <w:rFonts w:ascii="Times New Roman" w:hAnsi="Times New Roman" w:cs="Times New Roman"/>
          <w:sz w:val="24"/>
          <w:szCs w:val="24"/>
        </w:rPr>
        <w:t>ocial, podendo falar-se a este propósito de verdadeiras parcerias público-sociais.</w:t>
      </w:r>
    </w:p>
    <w:p w14:paraId="60168406" w14:textId="74DA30F4" w:rsidR="00536B28" w:rsidRPr="00314384" w:rsidRDefault="005C15ED" w:rsidP="008B2786">
      <w:pPr>
        <w:spacing w:before="120" w:after="12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Neste contexto, </w:t>
      </w:r>
      <w:r w:rsidR="0020333E">
        <w:rPr>
          <w:rFonts w:ascii="Times New Roman" w:hAnsi="Times New Roman" w:cs="Times New Roman"/>
          <w:sz w:val="24"/>
          <w:szCs w:val="24"/>
        </w:rPr>
        <w:t>importa referir que as</w:t>
      </w:r>
      <w:r w:rsidR="00301EF8" w:rsidRPr="00314384">
        <w:rPr>
          <w:rFonts w:ascii="Times New Roman" w:hAnsi="Times New Roman" w:cs="Times New Roman"/>
          <w:sz w:val="24"/>
          <w:szCs w:val="24"/>
        </w:rPr>
        <w:t xml:space="preserve"> IPSS</w:t>
      </w:r>
      <w:r w:rsidR="00536B28" w:rsidRPr="00314384">
        <w:rPr>
          <w:rFonts w:ascii="Times New Roman" w:hAnsi="Times New Roman" w:cs="Times New Roman"/>
          <w:sz w:val="24"/>
          <w:szCs w:val="24"/>
        </w:rPr>
        <w:t xml:space="preserve"> desempenham um papel relevante ao preencherem algumas das lacunas do Estado no que diz respeito às respostas sociais</w:t>
      </w:r>
      <w:r w:rsidR="00766CD4">
        <w:rPr>
          <w:rFonts w:ascii="Times New Roman" w:hAnsi="Times New Roman" w:cs="Times New Roman"/>
          <w:sz w:val="24"/>
          <w:szCs w:val="24"/>
        </w:rPr>
        <w:t>,</w:t>
      </w:r>
      <w:r w:rsidR="00536B28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5344C9">
        <w:rPr>
          <w:rFonts w:ascii="Times New Roman" w:hAnsi="Times New Roman" w:cs="Times New Roman"/>
          <w:sz w:val="24"/>
          <w:szCs w:val="24"/>
        </w:rPr>
        <w:t>construindo soluções</w:t>
      </w:r>
      <w:r w:rsidR="00766CD4">
        <w:rPr>
          <w:rFonts w:ascii="Times New Roman" w:hAnsi="Times New Roman" w:cs="Times New Roman"/>
          <w:sz w:val="24"/>
          <w:szCs w:val="24"/>
        </w:rPr>
        <w:t xml:space="preserve"> melhor </w:t>
      </w:r>
      <w:r w:rsidR="00536B28" w:rsidRPr="00314384">
        <w:rPr>
          <w:rFonts w:ascii="Times New Roman" w:hAnsi="Times New Roman" w:cs="Times New Roman"/>
          <w:sz w:val="24"/>
          <w:szCs w:val="24"/>
        </w:rPr>
        <w:t>adaptadas às necessidades da população do que as respostas estatais (Romão, 2002).</w:t>
      </w:r>
    </w:p>
    <w:p w14:paraId="5AD3C7CC" w14:textId="6110C2CB" w:rsidR="00536B28" w:rsidRPr="00314384" w:rsidRDefault="00536B28" w:rsidP="008B2786">
      <w:pPr>
        <w:pStyle w:val="SemEspaamento"/>
        <w:spacing w:before="120" w:after="120" w:line="360" w:lineRule="auto"/>
        <w:ind w:firstLine="72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>De acordo com o art. 1</w:t>
      </w:r>
      <w:r w:rsidR="007B09F0" w:rsidRPr="00314384">
        <w:rPr>
          <w:rFonts w:ascii="Times New Roman" w:hAnsi="Times New Roman" w:cs="Times New Roman"/>
          <w:sz w:val="24"/>
          <w:szCs w:val="24"/>
        </w:rPr>
        <w:t>.º</w:t>
      </w:r>
      <w:r w:rsidRPr="00314384">
        <w:rPr>
          <w:rFonts w:ascii="Times New Roman" w:hAnsi="Times New Roman" w:cs="Times New Roman"/>
          <w:sz w:val="24"/>
          <w:szCs w:val="24"/>
        </w:rPr>
        <w:t xml:space="preserve"> do Estatuto das </w:t>
      </w:r>
      <w:r w:rsidR="002A66AD">
        <w:rPr>
          <w:rFonts w:ascii="Times New Roman" w:hAnsi="Times New Roman" w:cs="Times New Roman"/>
          <w:sz w:val="24"/>
          <w:szCs w:val="24"/>
        </w:rPr>
        <w:t>IPSS</w:t>
      </w:r>
      <w:r w:rsidRPr="00314384">
        <w:rPr>
          <w:rFonts w:ascii="Times New Roman" w:hAnsi="Times New Roman" w:cs="Times New Roman"/>
          <w:sz w:val="24"/>
          <w:szCs w:val="24"/>
        </w:rPr>
        <w:t xml:space="preserve"> aprovado pelo Decreto-Lei n.º 172-A/2014, de 14 de novembro, </w:t>
      </w:r>
      <w:r w:rsidR="006819F7" w:rsidRPr="00314384">
        <w:rPr>
          <w:rFonts w:ascii="Times New Roman" w:hAnsi="Times New Roman" w:cs="Times New Roman"/>
          <w:sz w:val="24"/>
          <w:szCs w:val="24"/>
        </w:rPr>
        <w:t>que alterou e republicou o Estatuto das IPSS, aprovado pelo Decreto-Lei,</w:t>
      </w:r>
      <w:r w:rsidR="00301EF8" w:rsidRPr="00314384">
        <w:rPr>
          <w:rFonts w:ascii="Times New Roman" w:hAnsi="Times New Roman" w:cs="Times New Roman"/>
          <w:sz w:val="24"/>
          <w:szCs w:val="24"/>
        </w:rPr>
        <w:t xml:space="preserve"> n.º 119/83, de 25 de Fevereiro, </w:t>
      </w:r>
      <w:r w:rsidRPr="00314384">
        <w:rPr>
          <w:rFonts w:ascii="Times New Roman" w:hAnsi="Times New Roman" w:cs="Times New Roman"/>
          <w:sz w:val="24"/>
          <w:szCs w:val="24"/>
        </w:rPr>
        <w:t>as IPSS</w:t>
      </w:r>
      <w:r w:rsidR="007B09F0" w:rsidRPr="00314384">
        <w:rPr>
          <w:rFonts w:ascii="Times New Roman" w:hAnsi="Times New Roman" w:cs="Times New Roman"/>
          <w:sz w:val="24"/>
          <w:szCs w:val="24"/>
        </w:rPr>
        <w:t xml:space="preserve"> são “</w:t>
      </w:r>
      <w:r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Pr="00314384">
        <w:rPr>
          <w:rFonts w:ascii="Times New Roman" w:hAnsi="Times New Roman" w:cs="Times New Roman"/>
          <w:i/>
          <w:sz w:val="24"/>
          <w:szCs w:val="24"/>
        </w:rPr>
        <w:t>pessoas coletivas, sem finalidade lucrativa, constituídas exclusivamente por iniciativa de particulares, com o propósito de dar expressão organizada ao dever moral de justiça e de solidariedade, contribuindo para a efetivação dos direitos sociais dos cidadãos, desde que não sejam administradas pelo Estado ou por outro organismo público”.</w:t>
      </w:r>
    </w:p>
    <w:p w14:paraId="70268F8C" w14:textId="455AF70D" w:rsidR="007E5DAF" w:rsidRPr="00314384" w:rsidRDefault="00150B44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>Em termos de enquadramento contabilístico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, </w:t>
      </w:r>
      <w:r w:rsidR="00B161BD">
        <w:rPr>
          <w:rFonts w:ascii="Times New Roman" w:hAnsi="Times New Roman" w:cs="Times New Roman"/>
          <w:sz w:val="24"/>
          <w:szCs w:val="24"/>
        </w:rPr>
        <w:t>estas entidades estão sujeitas ao normativo contabilístico designado de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normalização contabilística para as</w:t>
      </w:r>
      <w:r w:rsidR="000019D9">
        <w:rPr>
          <w:rFonts w:ascii="Times New Roman" w:hAnsi="Times New Roman" w:cs="Times New Roman"/>
          <w:sz w:val="24"/>
          <w:szCs w:val="24"/>
        </w:rPr>
        <w:t xml:space="preserve"> Entidades do Setor Não </w:t>
      </w:r>
      <w:r w:rsidR="000019D9" w:rsidRPr="000019D9">
        <w:rPr>
          <w:rFonts w:ascii="Times New Roman" w:hAnsi="Times New Roman" w:cs="Times New Roman"/>
          <w:sz w:val="24"/>
          <w:szCs w:val="24"/>
        </w:rPr>
        <w:t>Lucrativo (</w:t>
      </w:r>
      <w:r w:rsidR="00BB644A" w:rsidRPr="000019D9">
        <w:rPr>
          <w:rFonts w:ascii="Times New Roman" w:hAnsi="Times New Roman" w:cs="Times New Roman"/>
          <w:sz w:val="24"/>
          <w:szCs w:val="24"/>
        </w:rPr>
        <w:t>ESNL</w:t>
      </w:r>
      <w:r w:rsidR="000019D9" w:rsidRPr="000019D9">
        <w:rPr>
          <w:rFonts w:ascii="Times New Roman" w:hAnsi="Times New Roman" w:cs="Times New Roman"/>
          <w:sz w:val="24"/>
          <w:szCs w:val="24"/>
        </w:rPr>
        <w:t>)</w:t>
      </w:r>
      <w:r w:rsidR="00BB644A" w:rsidRPr="000019D9">
        <w:rPr>
          <w:rFonts w:ascii="Times New Roman" w:hAnsi="Times New Roman" w:cs="Times New Roman"/>
          <w:sz w:val="24"/>
          <w:szCs w:val="24"/>
        </w:rPr>
        <w:t>,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B161BD">
        <w:rPr>
          <w:rFonts w:ascii="Times New Roman" w:hAnsi="Times New Roman" w:cs="Times New Roman"/>
          <w:sz w:val="24"/>
          <w:szCs w:val="24"/>
        </w:rPr>
        <w:t>publicado n</w:t>
      </w:r>
      <w:r w:rsidR="00B161BD" w:rsidRPr="00314384">
        <w:rPr>
          <w:rFonts w:ascii="Times New Roman" w:hAnsi="Times New Roman" w:cs="Times New Roman"/>
          <w:sz w:val="24"/>
          <w:szCs w:val="24"/>
        </w:rPr>
        <w:t xml:space="preserve">o Decreto-Lei n.º 36-A/2011, de 9 de março </w:t>
      </w:r>
      <w:r w:rsidR="00B161BD">
        <w:rPr>
          <w:rFonts w:ascii="Times New Roman" w:hAnsi="Times New Roman" w:cs="Times New Roman"/>
          <w:sz w:val="24"/>
          <w:szCs w:val="24"/>
        </w:rPr>
        <w:t>e que integra o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Sistema de Normalização Contabilística (SNC)</w:t>
      </w:r>
      <w:r w:rsidR="00B161BD">
        <w:rPr>
          <w:rFonts w:ascii="Times New Roman" w:hAnsi="Times New Roman" w:cs="Times New Roman"/>
          <w:sz w:val="24"/>
          <w:szCs w:val="24"/>
        </w:rPr>
        <w:t xml:space="preserve">. O novo normativo das ESNL introduziu novas regras contabilísticas </w:t>
      </w:r>
      <w:r w:rsidR="00BB644A" w:rsidRPr="00314384">
        <w:rPr>
          <w:rFonts w:ascii="Times New Roman" w:hAnsi="Times New Roman" w:cs="Times New Roman"/>
          <w:sz w:val="24"/>
          <w:szCs w:val="24"/>
        </w:rPr>
        <w:t>aplicáveis especificamente a estas entidades que</w:t>
      </w:r>
      <w:r w:rsidR="00EE6CF8" w:rsidRPr="00314384">
        <w:rPr>
          <w:rFonts w:ascii="Times New Roman" w:hAnsi="Times New Roman" w:cs="Times New Roman"/>
          <w:sz w:val="24"/>
          <w:szCs w:val="24"/>
        </w:rPr>
        <w:t>,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a título principal, </w:t>
      </w:r>
      <w:r w:rsidR="000337C2">
        <w:rPr>
          <w:rFonts w:ascii="Times New Roman" w:hAnsi="Times New Roman" w:cs="Times New Roman"/>
          <w:sz w:val="24"/>
          <w:szCs w:val="24"/>
        </w:rPr>
        <w:t xml:space="preserve">desenvolvem 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atividades sem fins lucrativos e </w:t>
      </w:r>
      <w:r w:rsidR="000337C2">
        <w:rPr>
          <w:rFonts w:ascii="Times New Roman" w:hAnsi="Times New Roman" w:cs="Times New Roman"/>
          <w:sz w:val="24"/>
          <w:szCs w:val="24"/>
        </w:rPr>
        <w:t xml:space="preserve">que 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não </w:t>
      </w:r>
      <w:r w:rsidR="00EE6CF8" w:rsidRPr="00314384">
        <w:rPr>
          <w:rFonts w:ascii="Times New Roman" w:hAnsi="Times New Roman" w:cs="Times New Roman"/>
          <w:sz w:val="24"/>
          <w:szCs w:val="24"/>
        </w:rPr>
        <w:t xml:space="preserve">podem </w:t>
      </w:r>
      <w:r w:rsidR="00BB644A" w:rsidRPr="00314384">
        <w:rPr>
          <w:rFonts w:ascii="Times New Roman" w:hAnsi="Times New Roman" w:cs="Times New Roman"/>
          <w:sz w:val="24"/>
          <w:szCs w:val="24"/>
        </w:rPr>
        <w:t>distribuir aos seus membros</w:t>
      </w:r>
      <w:r w:rsidR="00EE6CF8" w:rsidRPr="00314384">
        <w:rPr>
          <w:rFonts w:ascii="Times New Roman" w:hAnsi="Times New Roman" w:cs="Times New Roman"/>
          <w:sz w:val="24"/>
          <w:szCs w:val="24"/>
        </w:rPr>
        <w:t>,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ou contribuintes</w:t>
      </w:r>
      <w:r w:rsidR="00EE6CF8" w:rsidRPr="00314384">
        <w:rPr>
          <w:rFonts w:ascii="Times New Roman" w:hAnsi="Times New Roman" w:cs="Times New Roman"/>
          <w:sz w:val="24"/>
          <w:szCs w:val="24"/>
        </w:rPr>
        <w:t>,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qualquer ganho económico ou financeiro direto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(Bandeira, 2016)</w:t>
      </w:r>
      <w:r w:rsidR="00BB644A" w:rsidRPr="00314384">
        <w:rPr>
          <w:rFonts w:ascii="Times New Roman" w:hAnsi="Times New Roman" w:cs="Times New Roman"/>
          <w:sz w:val="24"/>
          <w:szCs w:val="24"/>
        </w:rPr>
        <w:t>.</w:t>
      </w:r>
    </w:p>
    <w:p w14:paraId="7ADAF1A0" w14:textId="797775E1" w:rsidR="00BB644A" w:rsidRPr="00314384" w:rsidRDefault="00B161BD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regime contabilístico das ESNL é composto pelos seguintes instrumentos: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BB644A" w:rsidRPr="00314384">
        <w:rPr>
          <w:rFonts w:ascii="Times New Roman" w:hAnsi="Times New Roman" w:cs="Times New Roman"/>
          <w:sz w:val="24"/>
          <w:szCs w:val="24"/>
        </w:rPr>
        <w:t>Bases de Apresentação de Demonstrações Financeiras (BADF);</w:t>
      </w:r>
      <w:r w:rsidR="00EE6CF8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BB644A" w:rsidRPr="00314384">
        <w:rPr>
          <w:rFonts w:ascii="Times New Roman" w:hAnsi="Times New Roman" w:cs="Times New Roman"/>
          <w:sz w:val="24"/>
          <w:szCs w:val="24"/>
        </w:rPr>
        <w:t>Model</w:t>
      </w:r>
      <w:r w:rsidR="002A66AD">
        <w:rPr>
          <w:rFonts w:ascii="Times New Roman" w:hAnsi="Times New Roman" w:cs="Times New Roman"/>
          <w:sz w:val="24"/>
          <w:szCs w:val="24"/>
        </w:rPr>
        <w:t>os de Demonstrações Financeiras</w:t>
      </w:r>
      <w:r w:rsidR="000019D9" w:rsidRPr="00314384">
        <w:rPr>
          <w:rFonts w:ascii="Times New Roman" w:hAnsi="Times New Roman" w:cs="Times New Roman"/>
          <w:sz w:val="24"/>
          <w:szCs w:val="24"/>
        </w:rPr>
        <w:t>; Código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 de Contas;</w:t>
      </w:r>
      <w:r w:rsidR="002A66AD">
        <w:rPr>
          <w:rFonts w:ascii="Times New Roman" w:hAnsi="Times New Roman" w:cs="Times New Roman"/>
          <w:sz w:val="24"/>
          <w:szCs w:val="24"/>
        </w:rPr>
        <w:t xml:space="preserve"> </w:t>
      </w:r>
      <w:r w:rsidR="00BB644A" w:rsidRPr="00314384">
        <w:rPr>
          <w:rFonts w:ascii="Times New Roman" w:hAnsi="Times New Roman" w:cs="Times New Roman"/>
          <w:sz w:val="24"/>
          <w:szCs w:val="24"/>
        </w:rPr>
        <w:t>Norma Contabilística e de Relato Financeiro para Entidades do Setor Não Lucrativo (NCRF-ESNL); e,</w:t>
      </w:r>
      <w:r w:rsidR="00EE6CF8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2A66AD">
        <w:rPr>
          <w:rFonts w:ascii="Times New Roman" w:hAnsi="Times New Roman" w:cs="Times New Roman"/>
          <w:sz w:val="24"/>
          <w:szCs w:val="24"/>
        </w:rPr>
        <w:t>Normas Interpretativas</w:t>
      </w:r>
      <w:r>
        <w:rPr>
          <w:rFonts w:ascii="Times New Roman" w:hAnsi="Times New Roman" w:cs="Times New Roman"/>
          <w:sz w:val="24"/>
          <w:szCs w:val="24"/>
        </w:rPr>
        <w:t xml:space="preserve"> (c</w:t>
      </w:r>
      <w:r w:rsidRPr="00314384">
        <w:rPr>
          <w:rFonts w:ascii="Times New Roman" w:hAnsi="Times New Roman" w:cs="Times New Roman"/>
          <w:sz w:val="24"/>
          <w:szCs w:val="24"/>
        </w:rPr>
        <w:t>onforme o n.º 1.2 do anexo II, do Decreto-Lei n.º 36-A/2011</w:t>
      </w:r>
      <w:r>
        <w:rPr>
          <w:rFonts w:ascii="Times New Roman" w:hAnsi="Times New Roman" w:cs="Times New Roman"/>
          <w:sz w:val="24"/>
          <w:szCs w:val="24"/>
        </w:rPr>
        <w:t>)</w:t>
      </w:r>
      <w:r w:rsidR="002A66AD">
        <w:rPr>
          <w:rFonts w:ascii="Times New Roman" w:hAnsi="Times New Roman" w:cs="Times New Roman"/>
          <w:sz w:val="24"/>
          <w:szCs w:val="24"/>
        </w:rPr>
        <w:t xml:space="preserve">. </w:t>
      </w:r>
      <w:r w:rsidR="00BB644A" w:rsidRPr="00314384">
        <w:rPr>
          <w:rFonts w:ascii="Times New Roman" w:hAnsi="Times New Roman" w:cs="Times New Roman"/>
          <w:sz w:val="24"/>
          <w:szCs w:val="24"/>
        </w:rPr>
        <w:t>As BADF apresentam requisitos que permitem assegurar a comparabilidade da informação entre exercícios anteriores, assim como, a comparabili</w:t>
      </w:r>
      <w:r>
        <w:rPr>
          <w:rFonts w:ascii="Times New Roman" w:hAnsi="Times New Roman" w:cs="Times New Roman"/>
          <w:sz w:val="24"/>
          <w:szCs w:val="24"/>
        </w:rPr>
        <w:t xml:space="preserve">dade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entre entidades diferentes. Ainda segundo o mesmo normativo </w:t>
      </w:r>
      <w:r w:rsidR="00BB644A" w:rsidRPr="00314384">
        <w:rPr>
          <w:rFonts w:ascii="Times New Roman" w:hAnsi="Times New Roman" w:cs="Times New Roman"/>
          <w:sz w:val="24"/>
          <w:szCs w:val="24"/>
        </w:rPr>
        <w:t>as ESNL, necessitam de reforçar as exigências da transparência relativamente às atividades que realizam e aos recursos que utilizam, sobretudo através da obrigação de prestarem informação confiável sobre a gestão dos recursos que lhes são confiados, bem como sobre os resultados alcançados no desenvolvimento das suas atividades.</w:t>
      </w:r>
    </w:p>
    <w:p w14:paraId="3C747B1D" w14:textId="0126C1A7" w:rsidR="00BB644A" w:rsidRPr="00314384" w:rsidRDefault="00314384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Nesta conformidade, 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o novo estatuto das IPSS, previsto no Decreto-Lei n.º 172-A/2014, de 14 de novembro, </w:t>
      </w:r>
      <w:r w:rsidRPr="00314384">
        <w:rPr>
          <w:rFonts w:ascii="Times New Roman" w:hAnsi="Times New Roman" w:cs="Times New Roman"/>
          <w:sz w:val="24"/>
          <w:szCs w:val="24"/>
        </w:rPr>
        <w:t xml:space="preserve">ao exigir a publicação das contas vai ao encontro do previsto na BADF no que se refere à transparência, 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devendo </w:t>
      </w:r>
      <w:r w:rsidRPr="00314384">
        <w:rPr>
          <w:rFonts w:ascii="Times New Roman" w:hAnsi="Times New Roman" w:cs="Times New Roman"/>
          <w:sz w:val="24"/>
          <w:szCs w:val="24"/>
        </w:rPr>
        <w:t xml:space="preserve">as contas </w:t>
      </w:r>
      <w:r w:rsidR="00BB644A" w:rsidRPr="00314384">
        <w:rPr>
          <w:rFonts w:ascii="Times New Roman" w:hAnsi="Times New Roman" w:cs="Times New Roman"/>
          <w:sz w:val="24"/>
          <w:szCs w:val="24"/>
        </w:rPr>
        <w:t xml:space="preserve">ser publicadas obrigatoriamente no sítio institucional eletrónico da instituição até ao dia 31 de maio do ano seguinte a que dizem respeito (art.º 14.º-A). </w:t>
      </w:r>
    </w:p>
    <w:p w14:paraId="3A1265A6" w14:textId="1EC14980" w:rsidR="00BB644A" w:rsidRPr="00314384" w:rsidRDefault="00BB644A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>Conforme Meira (2013</w:t>
      </w:r>
      <w:r w:rsidR="00836BDF" w:rsidRPr="000019D9">
        <w:rPr>
          <w:rFonts w:ascii="Times New Roman" w:hAnsi="Times New Roman" w:cs="Times New Roman"/>
          <w:sz w:val="24"/>
          <w:szCs w:val="24"/>
        </w:rPr>
        <w:t>, pág.</w:t>
      </w:r>
      <w:r w:rsidR="004D033A" w:rsidRPr="000019D9">
        <w:rPr>
          <w:rFonts w:ascii="Times New Roman" w:hAnsi="Times New Roman" w:cs="Times New Roman"/>
          <w:sz w:val="24"/>
          <w:szCs w:val="24"/>
        </w:rPr>
        <w:t xml:space="preserve"> 30</w:t>
      </w:r>
      <w:r w:rsidRPr="000019D9">
        <w:rPr>
          <w:rFonts w:ascii="Times New Roman" w:hAnsi="Times New Roman" w:cs="Times New Roman"/>
          <w:sz w:val="24"/>
          <w:szCs w:val="24"/>
        </w:rPr>
        <w:t>)</w:t>
      </w:r>
      <w:r w:rsidRPr="00314384">
        <w:rPr>
          <w:rFonts w:ascii="Times New Roman" w:hAnsi="Times New Roman" w:cs="Times New Roman"/>
          <w:sz w:val="24"/>
          <w:szCs w:val="24"/>
        </w:rPr>
        <w:t xml:space="preserve"> explica, a expressão “</w:t>
      </w:r>
      <w:r w:rsidRPr="00314384">
        <w:rPr>
          <w:rFonts w:ascii="Times New Roman" w:hAnsi="Times New Roman" w:cs="Times New Roman"/>
          <w:i/>
          <w:sz w:val="24"/>
          <w:szCs w:val="24"/>
        </w:rPr>
        <w:t>O Estado apoia</w:t>
      </w:r>
      <w:r w:rsidRPr="00314384">
        <w:rPr>
          <w:rFonts w:ascii="Times New Roman" w:hAnsi="Times New Roman" w:cs="Times New Roman"/>
          <w:sz w:val="24"/>
          <w:szCs w:val="24"/>
        </w:rPr>
        <w:t>” significa que as entidades irão beneficiar de um apoio público para que as mesmas consigam prosseguir os seus fins sociais, surgindo como parceiros do Estado Social. Estas entidades cooperam com o Estado na garantia de um mínimo vital de direitos económicos, sociais e culturais dos cidadãos.</w:t>
      </w:r>
    </w:p>
    <w:p w14:paraId="681FAAA2" w14:textId="336C9CEA" w:rsidR="00150B44" w:rsidRDefault="00675F8C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>A finalidade da cooperação consiste na "</w:t>
      </w:r>
      <w:r w:rsidRPr="00314384">
        <w:rPr>
          <w:rFonts w:ascii="Times New Roman" w:hAnsi="Times New Roman" w:cs="Times New Roman"/>
          <w:i/>
          <w:sz w:val="24"/>
          <w:szCs w:val="24"/>
        </w:rPr>
        <w:t>concessão de prestações sociais e baseia-se no reconhecimento e valorização, por parte do Estado, do contributo das instituições para a realização dos fins de ação social, enquanto organizada da sociedade civil</w:t>
      </w:r>
      <w:r w:rsidRPr="00314384">
        <w:rPr>
          <w:rFonts w:ascii="Times New Roman" w:hAnsi="Times New Roman" w:cs="Times New Roman"/>
          <w:sz w:val="24"/>
          <w:szCs w:val="24"/>
        </w:rPr>
        <w:t xml:space="preserve">" (Despacho Normativo 75/92, Norma II). 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A cooperação pode assumir, nomeadamente, as seguintes formas: a) Acordo de cooperação; b) Acordo de gestão; c) Protocolo; d) Convenção. </w:t>
      </w:r>
      <w:r w:rsidR="007B394C" w:rsidRPr="00314384">
        <w:rPr>
          <w:rFonts w:ascii="Times New Roman" w:hAnsi="Times New Roman" w:cs="Times New Roman"/>
          <w:sz w:val="24"/>
          <w:szCs w:val="24"/>
        </w:rPr>
        <w:t>O acordo de cooperação visa o apoio para o desenvolvimento de um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7B394C" w:rsidRPr="00314384">
        <w:rPr>
          <w:rFonts w:ascii="Times New Roman" w:hAnsi="Times New Roman" w:cs="Times New Roman"/>
          <w:sz w:val="24"/>
          <w:szCs w:val="24"/>
        </w:rPr>
        <w:t>serviço ou equipamento; uma resposta social destinada ao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7B394C" w:rsidRPr="00314384">
        <w:rPr>
          <w:rFonts w:ascii="Times New Roman" w:hAnsi="Times New Roman" w:cs="Times New Roman"/>
          <w:sz w:val="24"/>
          <w:szCs w:val="24"/>
        </w:rPr>
        <w:t>apoio de crianças e jovens, pessoas com deficiência e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7B394C" w:rsidRPr="00314384">
        <w:rPr>
          <w:rFonts w:ascii="Times New Roman" w:hAnsi="Times New Roman" w:cs="Times New Roman"/>
          <w:sz w:val="24"/>
          <w:szCs w:val="24"/>
        </w:rPr>
        <w:t>incapacidade, pessoas idosas e família e comunidade - n.º 2 do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7B394C" w:rsidRPr="00314384">
        <w:rPr>
          <w:rFonts w:ascii="Times New Roman" w:hAnsi="Times New Roman" w:cs="Times New Roman"/>
          <w:sz w:val="24"/>
          <w:szCs w:val="24"/>
        </w:rPr>
        <w:t>artigo 10.º do Decreto-Lei n.º 120/2015, 30-6 e artigo 10.º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7B394C" w:rsidRPr="00314384">
        <w:rPr>
          <w:rFonts w:ascii="Times New Roman" w:hAnsi="Times New Roman" w:cs="Times New Roman"/>
          <w:sz w:val="24"/>
          <w:szCs w:val="24"/>
        </w:rPr>
        <w:t>Portaria n.º 169-A/2015, de 1 de Julho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. </w:t>
      </w:r>
      <w:r w:rsidR="00150B44" w:rsidRPr="00314384">
        <w:rPr>
          <w:rFonts w:ascii="Times New Roman" w:hAnsi="Times New Roman" w:cs="Times New Roman"/>
          <w:sz w:val="24"/>
          <w:szCs w:val="24"/>
        </w:rPr>
        <w:t>O acordo de gestão tem por objeto confiar às instituições as instalações e a gestão de um estabelecimento de apoio social, de natureza pública – n.º 3 do artigo 10.º do Decreto-Lei n.º 120/2015, de 30-7- e n.º 3 do artigo 7.º Portaria n.º 169-A/2015. Trata-se de um contrato escrito que visa confiar à</w:t>
      </w:r>
      <w:r w:rsidR="001E6172">
        <w:rPr>
          <w:rFonts w:ascii="Times New Roman" w:hAnsi="Times New Roman" w:cs="Times New Roman"/>
          <w:sz w:val="24"/>
          <w:szCs w:val="24"/>
        </w:rPr>
        <w:t>s</w:t>
      </w:r>
      <w:r w:rsidR="00150B44" w:rsidRPr="00314384">
        <w:rPr>
          <w:rFonts w:ascii="Times New Roman" w:hAnsi="Times New Roman" w:cs="Times New Roman"/>
          <w:sz w:val="24"/>
          <w:szCs w:val="24"/>
        </w:rPr>
        <w:t xml:space="preserve"> IPSS as instalações e a gestão de um estabelecimento de apoio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150B44" w:rsidRPr="00314384">
        <w:rPr>
          <w:rFonts w:ascii="Times New Roman" w:hAnsi="Times New Roman" w:cs="Times New Roman"/>
          <w:sz w:val="24"/>
          <w:szCs w:val="24"/>
        </w:rPr>
        <w:t xml:space="preserve">social, de natureza pública, onde se desenvolvem respostas sociais. </w:t>
      </w:r>
    </w:p>
    <w:p w14:paraId="315E35DD" w14:textId="189E7C19" w:rsidR="00405FF8" w:rsidRDefault="00B161BD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IPSS, atualmente, estão sujeitas a um conjunto de regras a cumprir que ultrapassa a sua miss</w:t>
      </w:r>
      <w:r w:rsidR="008E1FA2">
        <w:rPr>
          <w:rFonts w:ascii="Times New Roman" w:hAnsi="Times New Roman" w:cs="Times New Roman"/>
          <w:sz w:val="24"/>
          <w:szCs w:val="24"/>
        </w:rPr>
        <w:t xml:space="preserve">ão social e, portanto, que nos propusemos a realizar este estudo com o </w:t>
      </w:r>
      <w:r w:rsidR="007B394C" w:rsidRPr="00314384">
        <w:rPr>
          <w:rFonts w:ascii="Times New Roman" w:hAnsi="Times New Roman" w:cs="Times New Roman"/>
          <w:sz w:val="24"/>
          <w:szCs w:val="24"/>
        </w:rPr>
        <w:t xml:space="preserve">objetivo </w:t>
      </w:r>
      <w:r w:rsidR="001E6172">
        <w:rPr>
          <w:rFonts w:ascii="Times New Roman" w:hAnsi="Times New Roman" w:cs="Times New Roman"/>
          <w:sz w:val="24"/>
          <w:szCs w:val="24"/>
        </w:rPr>
        <w:t xml:space="preserve">principal </w:t>
      </w:r>
      <w:r w:rsidR="007B394C" w:rsidRPr="00314384">
        <w:rPr>
          <w:rFonts w:ascii="Times New Roman" w:hAnsi="Times New Roman" w:cs="Times New Roman"/>
          <w:sz w:val="24"/>
          <w:szCs w:val="24"/>
        </w:rPr>
        <w:t xml:space="preserve">de sensibilizar </w:t>
      </w:r>
      <w:r w:rsidR="008E1FA2">
        <w:rPr>
          <w:rFonts w:ascii="Times New Roman" w:hAnsi="Times New Roman" w:cs="Times New Roman"/>
          <w:sz w:val="24"/>
          <w:szCs w:val="24"/>
        </w:rPr>
        <w:t>estas entidades</w:t>
      </w:r>
      <w:r w:rsidR="007B394C" w:rsidRPr="00314384">
        <w:rPr>
          <w:rFonts w:ascii="Times New Roman" w:hAnsi="Times New Roman" w:cs="Times New Roman"/>
          <w:sz w:val="24"/>
          <w:szCs w:val="24"/>
        </w:rPr>
        <w:t xml:space="preserve"> para as exigências legais que decorrem da recente alteração ao Estatuto que as enquadra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. </w:t>
      </w:r>
      <w:r w:rsidR="007B394C" w:rsidRPr="00314384">
        <w:rPr>
          <w:rFonts w:ascii="Times New Roman" w:hAnsi="Times New Roman" w:cs="Times New Roman"/>
          <w:sz w:val="24"/>
          <w:szCs w:val="24"/>
        </w:rPr>
        <w:t xml:space="preserve">Efetivamente, 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ao exigir-se a publicitação obrigatória no </w:t>
      </w:r>
      <w:r w:rsidR="00712662" w:rsidRPr="00314384">
        <w:rPr>
          <w:rFonts w:ascii="Times New Roman" w:hAnsi="Times New Roman" w:cs="Times New Roman"/>
          <w:sz w:val="24"/>
          <w:szCs w:val="24"/>
        </w:rPr>
        <w:lastRenderedPageBreak/>
        <w:t>sítio institucional eletrónico da instituição</w:t>
      </w:r>
      <w:r w:rsidR="000337C2">
        <w:rPr>
          <w:rFonts w:ascii="Times New Roman" w:hAnsi="Times New Roman" w:cs="Times New Roman"/>
          <w:sz w:val="24"/>
          <w:szCs w:val="24"/>
        </w:rPr>
        <w:t>,</w:t>
      </w:r>
      <w:r w:rsidR="00712662" w:rsidRPr="00314384">
        <w:rPr>
          <w:rFonts w:ascii="Times New Roman" w:hAnsi="Times New Roman" w:cs="Times New Roman"/>
          <w:sz w:val="24"/>
          <w:szCs w:val="24"/>
        </w:rPr>
        <w:t xml:space="preserve"> até 31 de maio do ano seguinte a que dizem respeito, estas entidades ficam sujeitas à verificação externa da legalidade financeira: as contas são apresentadas, dentro dos prazos estabelecidos, ao órgão competente para a verificação da sua legalidade, para ulterior comunicação às entidades competentes (artigo 14.º</w:t>
      </w:r>
      <w:r w:rsidR="00405FF8">
        <w:rPr>
          <w:rFonts w:ascii="Times New Roman" w:hAnsi="Times New Roman" w:cs="Times New Roman"/>
          <w:sz w:val="24"/>
          <w:szCs w:val="24"/>
        </w:rPr>
        <w:t>-A, n.ºs 3, 4 e 7 do Estatuto).</w:t>
      </w:r>
    </w:p>
    <w:p w14:paraId="22537807" w14:textId="6EB47793" w:rsidR="008E1FA2" w:rsidRDefault="008E1FA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Assim, realizou-se um estudo empírico que se apresenta na secção seguinte. </w:t>
      </w:r>
    </w:p>
    <w:p w14:paraId="1BE05264" w14:textId="77777777" w:rsidR="008B2786" w:rsidRPr="009A68AB" w:rsidRDefault="008B2786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5CD543" w14:textId="59BBB97B" w:rsidR="00405FF8" w:rsidRPr="00405FF8" w:rsidRDefault="008E1FA2" w:rsidP="008B2786">
      <w:pPr>
        <w:spacing w:before="120" w:after="120"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3. </w:t>
      </w:r>
      <w:r w:rsidR="00405FF8" w:rsidRPr="00405FF8">
        <w:rPr>
          <w:rFonts w:ascii="Times New Roman" w:hAnsi="Times New Roman" w:cs="Times New Roman"/>
          <w:b/>
          <w:sz w:val="24"/>
        </w:rPr>
        <w:t>Estudo Empírico</w:t>
      </w:r>
      <w:r w:rsidR="005901C6">
        <w:rPr>
          <w:rFonts w:ascii="Times New Roman" w:hAnsi="Times New Roman" w:cs="Times New Roman"/>
          <w:b/>
          <w:sz w:val="24"/>
        </w:rPr>
        <w:t xml:space="preserve"> – </w:t>
      </w:r>
      <w:r w:rsidR="005901C6">
        <w:rPr>
          <w:rFonts w:ascii="Times New Roman" w:hAnsi="Times New Roman" w:cs="Times New Roman"/>
          <w:b/>
          <w:sz w:val="24"/>
          <w:szCs w:val="24"/>
        </w:rPr>
        <w:t>Averiguar o n</w:t>
      </w:r>
      <w:r w:rsidR="005901C6" w:rsidRPr="005901C6">
        <w:rPr>
          <w:rFonts w:ascii="Times New Roman" w:hAnsi="Times New Roman" w:cs="Times New Roman"/>
          <w:b/>
          <w:sz w:val="24"/>
          <w:szCs w:val="24"/>
        </w:rPr>
        <w:t>ível de transparência das IPSS na Região Autónoma da Madeira</w:t>
      </w:r>
    </w:p>
    <w:p w14:paraId="43A4908F" w14:textId="6CEBC93B" w:rsidR="008E1FA2" w:rsidRDefault="008E1FA2" w:rsidP="008B2786">
      <w:pPr>
        <w:pStyle w:val="SemEspaamento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Como já referido este estudo empírico recorreu a uma metodologia de natureza quantitativa, através da técnica análise de rácios e, de qualitativa, através da técnica de análise de conteúdo.</w:t>
      </w:r>
    </w:p>
    <w:p w14:paraId="0B80D56C" w14:textId="77777777" w:rsidR="008E1FA2" w:rsidRPr="00E20A6C" w:rsidRDefault="008E1FA2" w:rsidP="008B2786">
      <w:pPr>
        <w:pStyle w:val="SemEspaamento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>Objetivo principal: sensibilizar as IPSS para as exigências legais que decorrem daquela recente alteração ao Estatuto que as enquadra.</w:t>
      </w:r>
    </w:p>
    <w:p w14:paraId="20D1F47F" w14:textId="1C5FCCA0" w:rsidR="008E1FA2" w:rsidRPr="00E20A6C" w:rsidRDefault="008E1FA2" w:rsidP="008B2786">
      <w:pPr>
        <w:pStyle w:val="SemEspaamento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>Objetivo específico: averiguar o nível de transparência das IPSS na Região Autónoma da Madeira (RAM).</w:t>
      </w:r>
    </w:p>
    <w:p w14:paraId="5578ACC3" w14:textId="42B293E5" w:rsidR="008E1FA2" w:rsidRPr="00E20A6C" w:rsidRDefault="008E1FA2" w:rsidP="008B2786">
      <w:pPr>
        <w:pStyle w:val="SemEspaamento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 xml:space="preserve">Questões de investigação: </w:t>
      </w:r>
    </w:p>
    <w:p w14:paraId="45455C0D" w14:textId="77777777" w:rsidR="008E1FA2" w:rsidRPr="00E20A6C" w:rsidRDefault="008E1FA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 xml:space="preserve">Q1. As IPSS da RAM têm sítio institucional eletrónico? </w:t>
      </w:r>
    </w:p>
    <w:p w14:paraId="70FCBC1B" w14:textId="77777777" w:rsidR="008E1FA2" w:rsidRPr="00E20A6C" w:rsidRDefault="008E1FA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 xml:space="preserve">Q2 As IPSS da RAM publicam as suas contas nesse sítio institucional eletrónico? </w:t>
      </w:r>
    </w:p>
    <w:p w14:paraId="52E862DC" w14:textId="77777777" w:rsidR="008E1FA2" w:rsidRPr="00E20A6C" w:rsidRDefault="008E1FA2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 xml:space="preserve">Q3 Quais os tipos de contas que publicam e há quanto tempo é que publicam? </w:t>
      </w:r>
    </w:p>
    <w:p w14:paraId="7B9F1412" w14:textId="7A07217B" w:rsidR="008E1FA2" w:rsidRDefault="008E1FA2" w:rsidP="008B2786">
      <w:pPr>
        <w:pStyle w:val="SemEspaamento"/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0A6C">
        <w:rPr>
          <w:rFonts w:ascii="Times New Roman" w:hAnsi="Times New Roman" w:cs="Times New Roman"/>
          <w:sz w:val="24"/>
          <w:szCs w:val="24"/>
        </w:rPr>
        <w:t>Caracterização da amostra: P</w:t>
      </w:r>
      <w:r w:rsidR="008D3CBA" w:rsidRPr="00E20A6C">
        <w:rPr>
          <w:rFonts w:ascii="Times New Roman" w:hAnsi="Times New Roman" w:cs="Times New Roman"/>
          <w:sz w:val="24"/>
          <w:szCs w:val="24"/>
        </w:rPr>
        <w:t>opulação</w:t>
      </w:r>
      <w:r w:rsidR="008D3CBA" w:rsidRPr="00314384">
        <w:rPr>
          <w:rFonts w:ascii="Times New Roman" w:hAnsi="Times New Roman" w:cs="Times New Roman"/>
          <w:sz w:val="24"/>
          <w:szCs w:val="24"/>
        </w:rPr>
        <w:t>-</w:t>
      </w:r>
      <w:r w:rsidR="00A95B80" w:rsidRPr="00314384">
        <w:rPr>
          <w:rFonts w:ascii="Times New Roman" w:hAnsi="Times New Roman" w:cs="Times New Roman"/>
          <w:sz w:val="24"/>
          <w:szCs w:val="24"/>
        </w:rPr>
        <w:t xml:space="preserve">alvo </w:t>
      </w:r>
      <w:r w:rsidR="00C673F6" w:rsidRPr="00314384">
        <w:rPr>
          <w:rFonts w:ascii="Times New Roman" w:hAnsi="Times New Roman" w:cs="Times New Roman"/>
          <w:sz w:val="24"/>
          <w:szCs w:val="24"/>
        </w:rPr>
        <w:t xml:space="preserve">são </w:t>
      </w:r>
      <w:r w:rsidR="00A95B80" w:rsidRPr="00314384">
        <w:rPr>
          <w:rFonts w:ascii="Times New Roman" w:hAnsi="Times New Roman" w:cs="Times New Roman"/>
          <w:sz w:val="24"/>
          <w:szCs w:val="24"/>
        </w:rPr>
        <w:t>as 55 e</w:t>
      </w:r>
      <w:r w:rsidR="001D5250" w:rsidRPr="00314384">
        <w:rPr>
          <w:rFonts w:ascii="Times New Roman" w:hAnsi="Times New Roman" w:cs="Times New Roman"/>
          <w:sz w:val="24"/>
          <w:szCs w:val="24"/>
        </w:rPr>
        <w:t>ntidades</w:t>
      </w:r>
      <w:r w:rsidR="003353D7">
        <w:rPr>
          <w:rStyle w:val="Refdenotaderodap"/>
          <w:rFonts w:ascii="Times New Roman" w:hAnsi="Times New Roman" w:cs="Times New Roman"/>
          <w:sz w:val="24"/>
          <w:szCs w:val="24"/>
        </w:rPr>
        <w:footnoteReference w:id="1"/>
      </w:r>
      <w:r w:rsidR="009E25F5" w:rsidRPr="0031438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8BB4A38" w14:textId="7C127020" w:rsidR="000C2839" w:rsidRDefault="00A95B80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sz w:val="24"/>
          <w:szCs w:val="24"/>
        </w:rPr>
        <w:t xml:space="preserve">Para </w:t>
      </w:r>
      <w:r w:rsidR="000337C2">
        <w:rPr>
          <w:rFonts w:ascii="Times New Roman" w:hAnsi="Times New Roman" w:cs="Times New Roman"/>
          <w:sz w:val="24"/>
          <w:szCs w:val="24"/>
        </w:rPr>
        <w:t xml:space="preserve">a </w:t>
      </w:r>
      <w:r w:rsidRPr="00314384">
        <w:rPr>
          <w:rFonts w:ascii="Times New Roman" w:hAnsi="Times New Roman" w:cs="Times New Roman"/>
          <w:sz w:val="24"/>
          <w:szCs w:val="24"/>
        </w:rPr>
        <w:t>obtenção d</w:t>
      </w:r>
      <w:r w:rsidR="000337C2">
        <w:rPr>
          <w:rFonts w:ascii="Times New Roman" w:hAnsi="Times New Roman" w:cs="Times New Roman"/>
          <w:sz w:val="24"/>
          <w:szCs w:val="24"/>
        </w:rPr>
        <w:t>os</w:t>
      </w:r>
      <w:r w:rsidRPr="00314384">
        <w:rPr>
          <w:rFonts w:ascii="Times New Roman" w:hAnsi="Times New Roman" w:cs="Times New Roman"/>
          <w:sz w:val="24"/>
          <w:szCs w:val="24"/>
        </w:rPr>
        <w:t xml:space="preserve"> resultados</w:t>
      </w:r>
      <w:r w:rsidR="008B2786">
        <w:rPr>
          <w:rFonts w:ascii="Times New Roman" w:hAnsi="Times New Roman" w:cs="Times New Roman"/>
          <w:sz w:val="24"/>
          <w:szCs w:val="24"/>
        </w:rPr>
        <w:t>, como já referido,</w:t>
      </w:r>
      <w:r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C673F6" w:rsidRPr="00314384">
        <w:rPr>
          <w:rFonts w:ascii="Times New Roman" w:hAnsi="Times New Roman" w:cs="Times New Roman"/>
          <w:sz w:val="24"/>
          <w:szCs w:val="24"/>
        </w:rPr>
        <w:t>são</w:t>
      </w:r>
      <w:r w:rsidRPr="00314384">
        <w:rPr>
          <w:rFonts w:ascii="Times New Roman" w:hAnsi="Times New Roman" w:cs="Times New Roman"/>
          <w:sz w:val="24"/>
          <w:szCs w:val="24"/>
        </w:rPr>
        <w:t xml:space="preserve"> conjugado</w:t>
      </w:r>
      <w:r w:rsidR="00C673F6" w:rsidRPr="00314384">
        <w:rPr>
          <w:rFonts w:ascii="Times New Roman" w:hAnsi="Times New Roman" w:cs="Times New Roman"/>
          <w:sz w:val="24"/>
          <w:szCs w:val="24"/>
        </w:rPr>
        <w:t>s</w:t>
      </w:r>
      <w:r w:rsidRPr="00314384">
        <w:rPr>
          <w:rFonts w:ascii="Times New Roman" w:hAnsi="Times New Roman" w:cs="Times New Roman"/>
          <w:sz w:val="24"/>
          <w:szCs w:val="24"/>
        </w:rPr>
        <w:t xml:space="preserve"> dois métodos de investigação</w:t>
      </w:r>
      <w:r w:rsidR="000337C2">
        <w:rPr>
          <w:rFonts w:ascii="Times New Roman" w:hAnsi="Times New Roman" w:cs="Times New Roman"/>
          <w:sz w:val="24"/>
          <w:szCs w:val="24"/>
        </w:rPr>
        <w:t>:</w:t>
      </w:r>
      <w:r w:rsidRPr="00314384">
        <w:rPr>
          <w:rFonts w:ascii="Times New Roman" w:hAnsi="Times New Roman" w:cs="Times New Roman"/>
          <w:sz w:val="24"/>
          <w:szCs w:val="24"/>
        </w:rPr>
        <w:t xml:space="preserve"> método </w:t>
      </w:r>
      <w:r w:rsidR="00267ACE" w:rsidRPr="00314384">
        <w:rPr>
          <w:rFonts w:ascii="Times New Roman" w:hAnsi="Times New Roman" w:cs="Times New Roman"/>
          <w:sz w:val="24"/>
          <w:szCs w:val="24"/>
        </w:rPr>
        <w:t>quantitativo e método qualitativo. O método quantitativo tem como objetivos a identificação e apresentação dos dados a partir da amostra apresentada, para</w:t>
      </w:r>
      <w:r w:rsidR="000337C2">
        <w:rPr>
          <w:rFonts w:ascii="Times New Roman" w:hAnsi="Times New Roman" w:cs="Times New Roman"/>
          <w:sz w:val="24"/>
          <w:szCs w:val="24"/>
        </w:rPr>
        <w:t>,</w:t>
      </w:r>
      <w:r w:rsidR="00267ACE" w:rsidRPr="00314384">
        <w:rPr>
          <w:rFonts w:ascii="Times New Roman" w:hAnsi="Times New Roman" w:cs="Times New Roman"/>
          <w:sz w:val="24"/>
          <w:szCs w:val="24"/>
        </w:rPr>
        <w:t xml:space="preserve"> de seguida</w:t>
      </w:r>
      <w:r w:rsidR="000337C2">
        <w:rPr>
          <w:rFonts w:ascii="Times New Roman" w:hAnsi="Times New Roman" w:cs="Times New Roman"/>
          <w:sz w:val="24"/>
          <w:szCs w:val="24"/>
        </w:rPr>
        <w:t>,</w:t>
      </w:r>
      <w:r w:rsidR="00267ACE" w:rsidRPr="00314384">
        <w:rPr>
          <w:rFonts w:ascii="Times New Roman" w:hAnsi="Times New Roman" w:cs="Times New Roman"/>
          <w:sz w:val="24"/>
          <w:szCs w:val="24"/>
        </w:rPr>
        <w:t xml:space="preserve"> realizar uma análise estatística</w:t>
      </w:r>
      <w:r w:rsidR="000337C2">
        <w:rPr>
          <w:rFonts w:ascii="Times New Roman" w:hAnsi="Times New Roman" w:cs="Times New Roman"/>
          <w:sz w:val="24"/>
          <w:szCs w:val="24"/>
        </w:rPr>
        <w:t xml:space="preserve">, </w:t>
      </w:r>
      <w:r w:rsidR="000019D9">
        <w:rPr>
          <w:rFonts w:ascii="Times New Roman" w:hAnsi="Times New Roman" w:cs="Times New Roman"/>
          <w:sz w:val="24"/>
          <w:szCs w:val="24"/>
        </w:rPr>
        <w:t xml:space="preserve">centrada </w:t>
      </w:r>
      <w:r w:rsidR="000019D9" w:rsidRPr="00314384">
        <w:rPr>
          <w:rFonts w:ascii="Times New Roman" w:hAnsi="Times New Roman" w:cs="Times New Roman"/>
          <w:sz w:val="24"/>
          <w:szCs w:val="24"/>
        </w:rPr>
        <w:t>nas</w:t>
      </w:r>
      <w:r w:rsidR="00267ACE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8B2786">
        <w:rPr>
          <w:rFonts w:ascii="Times New Roman" w:hAnsi="Times New Roman" w:cs="Times New Roman"/>
          <w:sz w:val="24"/>
          <w:szCs w:val="24"/>
        </w:rPr>
        <w:t>questões</w:t>
      </w:r>
      <w:r w:rsidR="00267ACE" w:rsidRPr="00314384">
        <w:rPr>
          <w:rFonts w:ascii="Times New Roman" w:hAnsi="Times New Roman" w:cs="Times New Roman"/>
          <w:sz w:val="24"/>
          <w:szCs w:val="24"/>
        </w:rPr>
        <w:t xml:space="preserve"> </w:t>
      </w:r>
      <w:r w:rsidR="000337C2">
        <w:rPr>
          <w:rFonts w:ascii="Times New Roman" w:hAnsi="Times New Roman" w:cs="Times New Roman"/>
          <w:sz w:val="24"/>
          <w:szCs w:val="24"/>
        </w:rPr>
        <w:t>formuladas</w:t>
      </w:r>
      <w:r w:rsidR="00765F43">
        <w:rPr>
          <w:rFonts w:ascii="Times New Roman" w:hAnsi="Times New Roman" w:cs="Times New Roman"/>
          <w:sz w:val="24"/>
          <w:szCs w:val="24"/>
        </w:rPr>
        <w:t>, para tal usou-se o Microsoft Office, nomeadamente, Microsoft Excel</w:t>
      </w:r>
      <w:r w:rsidR="00267ACE" w:rsidRPr="00314384">
        <w:rPr>
          <w:rFonts w:ascii="Times New Roman" w:hAnsi="Times New Roman" w:cs="Times New Roman"/>
          <w:sz w:val="24"/>
          <w:szCs w:val="24"/>
        </w:rPr>
        <w:t xml:space="preserve">. </w:t>
      </w:r>
      <w:r w:rsidR="008B2786">
        <w:rPr>
          <w:rFonts w:ascii="Times New Roman" w:hAnsi="Times New Roman" w:cs="Times New Roman"/>
          <w:sz w:val="24"/>
          <w:szCs w:val="24"/>
        </w:rPr>
        <w:t>Assim, f</w:t>
      </w:r>
      <w:r w:rsidR="000C2839">
        <w:rPr>
          <w:rFonts w:ascii="Times New Roman" w:hAnsi="Times New Roman" w:cs="Times New Roman"/>
          <w:sz w:val="24"/>
          <w:szCs w:val="24"/>
        </w:rPr>
        <w:t>oi elaborad</w:t>
      </w:r>
      <w:r w:rsidR="008B2786">
        <w:rPr>
          <w:rFonts w:ascii="Times New Roman" w:hAnsi="Times New Roman" w:cs="Times New Roman"/>
          <w:sz w:val="24"/>
          <w:szCs w:val="24"/>
        </w:rPr>
        <w:t>a</w:t>
      </w:r>
      <w:r w:rsidR="000C2839">
        <w:rPr>
          <w:rFonts w:ascii="Times New Roman" w:hAnsi="Times New Roman" w:cs="Times New Roman"/>
          <w:sz w:val="24"/>
          <w:szCs w:val="24"/>
        </w:rPr>
        <w:t xml:space="preserve"> uma tabela, onde consta uma lista com os nomes das entidades registadas como IPSS na RAM, as questões de investigação já referidas e o local onde se encontram, ou seja, o Concelho. Foi </w:t>
      </w:r>
      <w:r w:rsidR="008B2786">
        <w:rPr>
          <w:rFonts w:ascii="Times New Roman" w:hAnsi="Times New Roman" w:cs="Times New Roman"/>
          <w:sz w:val="24"/>
          <w:szCs w:val="24"/>
        </w:rPr>
        <w:t xml:space="preserve">possível </w:t>
      </w:r>
      <w:r w:rsidR="000C2839">
        <w:rPr>
          <w:rFonts w:ascii="Times New Roman" w:hAnsi="Times New Roman" w:cs="Times New Roman"/>
          <w:sz w:val="24"/>
          <w:szCs w:val="24"/>
        </w:rPr>
        <w:t>obter a ma</w:t>
      </w:r>
      <w:r w:rsidR="008B2786">
        <w:rPr>
          <w:rFonts w:ascii="Times New Roman" w:hAnsi="Times New Roman" w:cs="Times New Roman"/>
          <w:sz w:val="24"/>
          <w:szCs w:val="24"/>
        </w:rPr>
        <w:t>ioria das informações</w:t>
      </w:r>
      <w:r w:rsidR="000C2839">
        <w:rPr>
          <w:rFonts w:ascii="Times New Roman" w:hAnsi="Times New Roman" w:cs="Times New Roman"/>
          <w:sz w:val="24"/>
          <w:szCs w:val="24"/>
        </w:rPr>
        <w:t>, pessoalmente ou telefonicamente.</w:t>
      </w:r>
    </w:p>
    <w:p w14:paraId="295DF9AA" w14:textId="28DE8925" w:rsidR="00373A1A" w:rsidRPr="00560891" w:rsidRDefault="00373A1A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0891">
        <w:rPr>
          <w:rFonts w:ascii="Times New Roman" w:hAnsi="Times New Roman" w:cs="Times New Roman"/>
          <w:sz w:val="24"/>
          <w:szCs w:val="24"/>
        </w:rPr>
        <w:lastRenderedPageBreak/>
        <w:t>A análise dos dados</w:t>
      </w:r>
      <w:r w:rsidR="00135412" w:rsidRPr="00560891">
        <w:rPr>
          <w:rFonts w:ascii="Times New Roman" w:hAnsi="Times New Roman" w:cs="Times New Roman"/>
          <w:sz w:val="24"/>
          <w:szCs w:val="24"/>
        </w:rPr>
        <w:t xml:space="preserve"> desenvolve-se </w:t>
      </w:r>
      <w:r w:rsidRPr="00560891">
        <w:rPr>
          <w:rFonts w:ascii="Times New Roman" w:hAnsi="Times New Roman" w:cs="Times New Roman"/>
          <w:sz w:val="24"/>
          <w:szCs w:val="24"/>
        </w:rPr>
        <w:t xml:space="preserve">em três etapas: descrição, análise e interpretação. A descrição corresponde à escrita de textos dos dados originais </w:t>
      </w:r>
      <w:r w:rsidR="00135412" w:rsidRPr="00560891">
        <w:rPr>
          <w:rFonts w:ascii="Times New Roman" w:hAnsi="Times New Roman" w:cs="Times New Roman"/>
          <w:sz w:val="24"/>
          <w:szCs w:val="24"/>
        </w:rPr>
        <w:t>mencionados</w:t>
      </w:r>
      <w:r w:rsidRPr="00560891">
        <w:rPr>
          <w:rFonts w:ascii="Times New Roman" w:hAnsi="Times New Roman" w:cs="Times New Roman"/>
          <w:sz w:val="24"/>
          <w:szCs w:val="24"/>
        </w:rPr>
        <w:t xml:space="preserve"> pelo investigador. A análise tem como objetivo a organização dos dados, onde se devem </w:t>
      </w:r>
      <w:r w:rsidR="00135412" w:rsidRPr="00560891">
        <w:rPr>
          <w:rFonts w:ascii="Times New Roman" w:hAnsi="Times New Roman" w:cs="Times New Roman"/>
          <w:sz w:val="24"/>
          <w:szCs w:val="24"/>
        </w:rPr>
        <w:t>demonstrar</w:t>
      </w:r>
      <w:r w:rsidRPr="00560891">
        <w:rPr>
          <w:rFonts w:ascii="Times New Roman" w:hAnsi="Times New Roman" w:cs="Times New Roman"/>
          <w:sz w:val="24"/>
          <w:szCs w:val="24"/>
        </w:rPr>
        <w:t xml:space="preserve"> os aspetos essenciais para proporcionar a obtenção de respostas ao problema proposto pelo estudo. Por </w:t>
      </w:r>
      <w:r w:rsidR="00135412" w:rsidRPr="00560891">
        <w:rPr>
          <w:rFonts w:ascii="Times New Roman" w:hAnsi="Times New Roman" w:cs="Times New Roman"/>
          <w:sz w:val="24"/>
          <w:szCs w:val="24"/>
        </w:rPr>
        <w:t>ú</w:t>
      </w:r>
      <w:r w:rsidRPr="00560891">
        <w:rPr>
          <w:rFonts w:ascii="Times New Roman" w:hAnsi="Times New Roman" w:cs="Times New Roman"/>
          <w:sz w:val="24"/>
          <w:szCs w:val="24"/>
        </w:rPr>
        <w:t>ltimo, a interpr</w:t>
      </w:r>
      <w:r w:rsidR="00135412" w:rsidRPr="00560891">
        <w:rPr>
          <w:rFonts w:ascii="Times New Roman" w:hAnsi="Times New Roman" w:cs="Times New Roman"/>
          <w:sz w:val="24"/>
          <w:szCs w:val="24"/>
        </w:rPr>
        <w:t xml:space="preserve">etação procura dar sentido mais </w:t>
      </w:r>
      <w:r w:rsidRPr="00560891">
        <w:rPr>
          <w:rFonts w:ascii="Times New Roman" w:hAnsi="Times New Roman" w:cs="Times New Roman"/>
          <w:sz w:val="24"/>
          <w:szCs w:val="24"/>
        </w:rPr>
        <w:t xml:space="preserve">amplo das respostas, mediante a sua ligação a outros conhecimentos </w:t>
      </w:r>
      <w:r w:rsidR="00135412" w:rsidRPr="00560891">
        <w:rPr>
          <w:rFonts w:ascii="Times New Roman" w:hAnsi="Times New Roman" w:cs="Times New Roman"/>
          <w:sz w:val="24"/>
          <w:szCs w:val="24"/>
        </w:rPr>
        <w:t>obtidos</w:t>
      </w:r>
      <w:r w:rsidRPr="00560891">
        <w:rPr>
          <w:rFonts w:ascii="Times New Roman" w:hAnsi="Times New Roman" w:cs="Times New Roman"/>
          <w:sz w:val="24"/>
          <w:szCs w:val="24"/>
        </w:rPr>
        <w:t xml:space="preserve"> </w:t>
      </w:r>
      <w:r w:rsidR="00135412" w:rsidRPr="00560891">
        <w:rPr>
          <w:rFonts w:ascii="Times New Roman" w:hAnsi="Times New Roman" w:cs="Times New Roman"/>
          <w:sz w:val="24"/>
          <w:szCs w:val="24"/>
        </w:rPr>
        <w:t>anteriormente (Gil, 2008). Por consequente</w:t>
      </w:r>
      <w:r w:rsidRPr="00560891">
        <w:rPr>
          <w:rFonts w:ascii="Times New Roman" w:hAnsi="Times New Roman" w:cs="Times New Roman"/>
          <w:sz w:val="24"/>
          <w:szCs w:val="24"/>
        </w:rPr>
        <w:t xml:space="preserve">, a análise de dados do trabalho </w:t>
      </w:r>
      <w:r w:rsidR="00135412" w:rsidRPr="00560891">
        <w:rPr>
          <w:rFonts w:ascii="Times New Roman" w:hAnsi="Times New Roman" w:cs="Times New Roman"/>
          <w:sz w:val="24"/>
          <w:szCs w:val="24"/>
        </w:rPr>
        <w:t>recai</w:t>
      </w:r>
      <w:r w:rsidRPr="00560891">
        <w:rPr>
          <w:rFonts w:ascii="Times New Roman" w:hAnsi="Times New Roman" w:cs="Times New Roman"/>
          <w:sz w:val="24"/>
          <w:szCs w:val="24"/>
        </w:rPr>
        <w:t xml:space="preserve"> sobre uma das técnicas mais utilizadas nas ciências sociais: a </w:t>
      </w:r>
      <w:r w:rsidR="008B2786" w:rsidRPr="00560891">
        <w:rPr>
          <w:rFonts w:ascii="Times New Roman" w:hAnsi="Times New Roman" w:cs="Times New Roman"/>
          <w:sz w:val="24"/>
          <w:szCs w:val="24"/>
        </w:rPr>
        <w:t>análise</w:t>
      </w:r>
      <w:r w:rsidRPr="00560891">
        <w:rPr>
          <w:rFonts w:ascii="Times New Roman" w:hAnsi="Times New Roman" w:cs="Times New Roman"/>
          <w:sz w:val="24"/>
          <w:szCs w:val="24"/>
        </w:rPr>
        <w:t xml:space="preserve"> de conteúdo, que permite viabilizar a descrição do conteúdo de comunicação (Pacheco, 2006).</w:t>
      </w:r>
    </w:p>
    <w:p w14:paraId="078CAA31" w14:textId="4976E56D" w:rsidR="00DA0AEB" w:rsidRDefault="000C2839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60891">
        <w:rPr>
          <w:rFonts w:ascii="Times New Roman" w:hAnsi="Times New Roman" w:cs="Times New Roman"/>
          <w:sz w:val="24"/>
          <w:szCs w:val="24"/>
        </w:rPr>
        <w:t xml:space="preserve">Os resultados que irão ser apresentados, foram obtidos </w:t>
      </w:r>
      <w:r w:rsidR="004F244F" w:rsidRPr="00560891">
        <w:rPr>
          <w:rFonts w:ascii="Times New Roman" w:hAnsi="Times New Roman" w:cs="Times New Roman"/>
          <w:sz w:val="24"/>
          <w:szCs w:val="24"/>
        </w:rPr>
        <w:t>a</w:t>
      </w:r>
      <w:r w:rsidR="00373A1A" w:rsidRPr="00560891">
        <w:rPr>
          <w:rFonts w:ascii="Times New Roman" w:hAnsi="Times New Roman" w:cs="Times New Roman"/>
          <w:sz w:val="24"/>
          <w:szCs w:val="24"/>
        </w:rPr>
        <w:t>través das</w:t>
      </w:r>
      <w:r w:rsidR="004F244F" w:rsidRPr="00560891">
        <w:rPr>
          <w:rFonts w:ascii="Times New Roman" w:hAnsi="Times New Roman" w:cs="Times New Roman"/>
          <w:sz w:val="24"/>
          <w:szCs w:val="24"/>
        </w:rPr>
        <w:t xml:space="preserve"> informações </w:t>
      </w:r>
      <w:r w:rsidR="004F244F">
        <w:rPr>
          <w:rFonts w:ascii="Times New Roman" w:hAnsi="Times New Roman" w:cs="Times New Roman"/>
          <w:sz w:val="24"/>
          <w:szCs w:val="24"/>
        </w:rPr>
        <w:t>disponibilizada</w:t>
      </w:r>
      <w:r w:rsidR="00373A1A">
        <w:rPr>
          <w:rFonts w:ascii="Times New Roman" w:hAnsi="Times New Roman" w:cs="Times New Roman"/>
          <w:sz w:val="24"/>
          <w:szCs w:val="24"/>
        </w:rPr>
        <w:t>s nos sites de algumas IPSS,</w:t>
      </w:r>
      <w:r w:rsidR="004F244F">
        <w:rPr>
          <w:rFonts w:ascii="Times New Roman" w:hAnsi="Times New Roman" w:cs="Times New Roman"/>
          <w:sz w:val="24"/>
          <w:szCs w:val="24"/>
        </w:rPr>
        <w:t xml:space="preserve"> </w:t>
      </w:r>
      <w:r w:rsidR="00373A1A">
        <w:rPr>
          <w:rFonts w:ascii="Times New Roman" w:hAnsi="Times New Roman" w:cs="Times New Roman"/>
          <w:sz w:val="24"/>
          <w:szCs w:val="24"/>
        </w:rPr>
        <w:t>d</w:t>
      </w:r>
      <w:r w:rsidR="004F244F">
        <w:rPr>
          <w:rFonts w:ascii="Times New Roman" w:hAnsi="Times New Roman" w:cs="Times New Roman"/>
          <w:sz w:val="24"/>
          <w:szCs w:val="24"/>
        </w:rPr>
        <w:t>a comunicação via</w:t>
      </w:r>
      <w:r w:rsidR="00373A1A">
        <w:rPr>
          <w:rFonts w:ascii="Times New Roman" w:hAnsi="Times New Roman" w:cs="Times New Roman"/>
          <w:sz w:val="24"/>
          <w:szCs w:val="24"/>
        </w:rPr>
        <w:t xml:space="preserve"> eletrónica e </w:t>
      </w:r>
      <w:r w:rsidR="004F244F">
        <w:rPr>
          <w:rFonts w:ascii="Times New Roman" w:hAnsi="Times New Roman" w:cs="Times New Roman"/>
          <w:sz w:val="24"/>
          <w:szCs w:val="24"/>
        </w:rPr>
        <w:t xml:space="preserve">telefónica </w:t>
      </w:r>
      <w:r w:rsidR="00373A1A">
        <w:rPr>
          <w:rFonts w:ascii="Times New Roman" w:hAnsi="Times New Roman" w:cs="Times New Roman"/>
          <w:sz w:val="24"/>
          <w:szCs w:val="24"/>
        </w:rPr>
        <w:t>bem como a realização de entrevistas para aquelas</w:t>
      </w:r>
      <w:r w:rsidR="004F244F">
        <w:rPr>
          <w:rFonts w:ascii="Times New Roman" w:hAnsi="Times New Roman" w:cs="Times New Roman"/>
          <w:sz w:val="24"/>
          <w:szCs w:val="24"/>
        </w:rPr>
        <w:t xml:space="preserve"> que não possuem site eletrónico.</w:t>
      </w:r>
    </w:p>
    <w:p w14:paraId="17DC2184" w14:textId="03E540E9" w:rsidR="003D4464" w:rsidRDefault="00456623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</w:t>
      </w:r>
      <w:r w:rsidR="008B2786">
        <w:rPr>
          <w:rFonts w:ascii="Times New Roman" w:hAnsi="Times New Roman" w:cs="Times New Roman"/>
          <w:sz w:val="24"/>
          <w:szCs w:val="24"/>
        </w:rPr>
        <w:t>figura1</w:t>
      </w:r>
      <w:r>
        <w:rPr>
          <w:rFonts w:ascii="Times New Roman" w:hAnsi="Times New Roman" w:cs="Times New Roman"/>
          <w:sz w:val="24"/>
          <w:szCs w:val="24"/>
        </w:rPr>
        <w:t xml:space="preserve"> seguinte podemos verificar a distribuição das IPSS pelos concelhos da R</w:t>
      </w:r>
      <w:r w:rsidR="003D4464">
        <w:rPr>
          <w:rFonts w:ascii="Times New Roman" w:hAnsi="Times New Roman" w:cs="Times New Roman"/>
          <w:sz w:val="24"/>
          <w:szCs w:val="24"/>
        </w:rPr>
        <w:t xml:space="preserve">egião </w:t>
      </w:r>
      <w:r>
        <w:rPr>
          <w:rFonts w:ascii="Times New Roman" w:hAnsi="Times New Roman" w:cs="Times New Roman"/>
          <w:sz w:val="24"/>
          <w:szCs w:val="24"/>
        </w:rPr>
        <w:t>A</w:t>
      </w:r>
      <w:r w:rsidR="003D4464">
        <w:rPr>
          <w:rFonts w:ascii="Times New Roman" w:hAnsi="Times New Roman" w:cs="Times New Roman"/>
          <w:sz w:val="24"/>
          <w:szCs w:val="24"/>
        </w:rPr>
        <w:t xml:space="preserve">utónoma da </w:t>
      </w:r>
      <w:r>
        <w:rPr>
          <w:rFonts w:ascii="Times New Roman" w:hAnsi="Times New Roman" w:cs="Times New Roman"/>
          <w:sz w:val="24"/>
          <w:szCs w:val="24"/>
        </w:rPr>
        <w:t>M</w:t>
      </w:r>
      <w:r w:rsidR="003D4464">
        <w:rPr>
          <w:rFonts w:ascii="Times New Roman" w:hAnsi="Times New Roman" w:cs="Times New Roman"/>
          <w:sz w:val="24"/>
          <w:szCs w:val="24"/>
        </w:rPr>
        <w:t>adeira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88ABD5D" w14:textId="77777777" w:rsidR="008B2786" w:rsidRDefault="008B2786" w:rsidP="008B2786">
      <w:pPr>
        <w:pStyle w:val="SemEspaamento"/>
        <w:spacing w:before="120" w:after="12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755657C" w14:textId="0D0EAFA2" w:rsidR="008B2786" w:rsidRDefault="008B2786" w:rsidP="008B2786">
      <w:pPr>
        <w:pStyle w:val="SemEspaamento"/>
        <w:spacing w:before="120" w:after="120" w:line="360" w:lineRule="auto"/>
        <w:ind w:firstLine="708"/>
        <w:jc w:val="center"/>
        <w:rPr>
          <w:noProof/>
        </w:rPr>
      </w:pPr>
      <w:r>
        <w:rPr>
          <w:rFonts w:ascii="Times New Roman" w:hAnsi="Times New Roman" w:cs="Times New Roman"/>
          <w:sz w:val="24"/>
          <w:szCs w:val="24"/>
        </w:rPr>
        <w:t>Figura 1 – Número de IPSS da RAM por conselho</w:t>
      </w:r>
    </w:p>
    <w:p w14:paraId="07CD7048" w14:textId="77777777" w:rsidR="003D4464" w:rsidRDefault="003D4464" w:rsidP="003D4464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47C0569D" wp14:editId="7F2C9413">
            <wp:extent cx="4610100" cy="2544061"/>
            <wp:effectExtent l="0" t="0" r="0" b="8890"/>
            <wp:docPr id="12" name="Imagem 1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F9C2DBF-6E0D-4CCA-84B2-BC3F8E9E4FD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1">
                      <a:extLst>
                        <a:ext uri="{FF2B5EF4-FFF2-40B4-BE49-F238E27FC236}">
        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F9C2DBF-6E0D-4CCA-84B2-BC3F8E9E4FD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876"/>
                    <a:stretch/>
                  </pic:blipFill>
                  <pic:spPr bwMode="auto">
                    <a:xfrm>
                      <a:off x="0" y="0"/>
                      <a:ext cx="4612369" cy="25453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F7DA87" w14:textId="1B872325" w:rsidR="008B2786" w:rsidRDefault="008B2786" w:rsidP="008B2786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Funchal é o concelho onde existe maior concentração de IPSS (27), existindo vinte e sete IPSS registadas. Já os concelhos do Porto Santo, da Calheta e da Ponta do Sol, são os concelhos onde foram registadas apenas uma IPSS. </w:t>
      </w:r>
      <w:r w:rsidRPr="008B2786">
        <w:rPr>
          <w:rFonts w:ascii="Times New Roman" w:hAnsi="Times New Roman" w:cs="Times New Roman"/>
          <w:sz w:val="24"/>
          <w:szCs w:val="24"/>
        </w:rPr>
        <w:t>Verificamos que não existe uma distribuição uniforme pelos concelhos em geral, uma vez que o Funchal é o concelho mais importante da RAM.</w:t>
      </w:r>
    </w:p>
    <w:p w14:paraId="368656DD" w14:textId="77777777" w:rsidR="007816BC" w:rsidRDefault="007816BC" w:rsidP="007816BC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816BC">
        <w:rPr>
          <w:rFonts w:ascii="Times New Roman" w:hAnsi="Times New Roman" w:cs="Times New Roman"/>
          <w:sz w:val="24"/>
          <w:szCs w:val="24"/>
        </w:rPr>
        <w:lastRenderedPageBreak/>
        <w:t>As IPSS podem revestir uma das diversas formas, tais como, a de Associações de solidariedade social, Associações de Voluntários de ação social, Associações de socorros mútuos, Fundações de solidariedade social, Irmandades da misericórdia, e respetivas, Uniões, Federações e Confederações.</w:t>
      </w:r>
      <w:r>
        <w:rPr>
          <w:rFonts w:ascii="Times New Roman" w:hAnsi="Times New Roman" w:cs="Times New Roman"/>
          <w:sz w:val="24"/>
          <w:szCs w:val="24"/>
        </w:rPr>
        <w:t xml:space="preserve"> Também podem ser consideradas </w:t>
      </w:r>
      <w:r w:rsidRPr="007816BC">
        <w:rPr>
          <w:rFonts w:ascii="Times New Roman" w:hAnsi="Times New Roman" w:cs="Times New Roman"/>
          <w:sz w:val="24"/>
          <w:szCs w:val="24"/>
        </w:rPr>
        <w:t>as fundações de solidariedade social, os centros sociais paroquiais e outros institutos criados por organizações da Igreja Católica ou por outras organizações religiosas, sujeitos ao regime das fundações de solidariedade social.</w:t>
      </w:r>
    </w:p>
    <w:p w14:paraId="5CC2019C" w14:textId="199622EC" w:rsidR="007816BC" w:rsidRDefault="007816BC" w:rsidP="007816BC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Temos também </w:t>
      </w:r>
      <w:r w:rsidRPr="007816BC">
        <w:rPr>
          <w:rFonts w:ascii="Times New Roman" w:hAnsi="Times New Roman" w:cs="Times New Roman"/>
          <w:sz w:val="24"/>
          <w:szCs w:val="24"/>
        </w:rPr>
        <w:t>as Pessoas Coletivas de Utilidade Pública (PCUP)</w:t>
      </w:r>
      <w:r>
        <w:rPr>
          <w:rFonts w:ascii="Times New Roman" w:hAnsi="Times New Roman" w:cs="Times New Roman"/>
          <w:sz w:val="24"/>
          <w:szCs w:val="24"/>
        </w:rPr>
        <w:t xml:space="preserve">, que de </w:t>
      </w:r>
      <w:r w:rsidRPr="007816BC">
        <w:rPr>
          <w:rFonts w:ascii="Times New Roman" w:hAnsi="Times New Roman" w:cs="Times New Roman"/>
          <w:sz w:val="24"/>
          <w:szCs w:val="24"/>
        </w:rPr>
        <w:t xml:space="preserve">acordo com </w:t>
      </w:r>
      <w:r w:rsidRPr="004C28EB">
        <w:rPr>
          <w:rFonts w:ascii="Times New Roman" w:hAnsi="Times New Roman" w:cs="Times New Roman"/>
          <w:sz w:val="24"/>
          <w:szCs w:val="24"/>
        </w:rPr>
        <w:t xml:space="preserve">o Decreto-Lei nº 391/2007, de 13 de dezembro, </w:t>
      </w:r>
      <w:r w:rsidRPr="007816BC">
        <w:rPr>
          <w:rFonts w:ascii="Times New Roman" w:hAnsi="Times New Roman" w:cs="Times New Roman"/>
          <w:sz w:val="24"/>
          <w:szCs w:val="24"/>
        </w:rPr>
        <w:t>são constituídas por “</w:t>
      </w:r>
      <w:r w:rsidRPr="007816BC">
        <w:rPr>
          <w:rFonts w:ascii="Times New Roman" w:hAnsi="Times New Roman" w:cs="Times New Roman"/>
          <w:i/>
          <w:sz w:val="24"/>
          <w:szCs w:val="24"/>
        </w:rPr>
        <w:t>associações ou fundações que prossigam fins de interesse geral, ou da comunidade nacional ou de qualquer região ou circunscrição, cooperando com a Administração Central ou a administração local, em termos de merecerem da parte desta administração a declaração de “utilidade pública</w:t>
      </w:r>
      <w:r w:rsidRPr="007816BC">
        <w:rPr>
          <w:rFonts w:ascii="Times New Roman" w:hAnsi="Times New Roman" w:cs="Times New Roman"/>
          <w:sz w:val="24"/>
          <w:szCs w:val="24"/>
        </w:rPr>
        <w:t>”.</w:t>
      </w:r>
      <w:r>
        <w:rPr>
          <w:rFonts w:ascii="Times New Roman" w:hAnsi="Times New Roman" w:cs="Times New Roman"/>
          <w:sz w:val="24"/>
          <w:szCs w:val="24"/>
        </w:rPr>
        <w:t xml:space="preserve"> Assim</w:t>
      </w:r>
      <w:r w:rsidRPr="007816BC">
        <w:rPr>
          <w:rFonts w:ascii="Times New Roman" w:hAnsi="Times New Roman" w:cs="Times New Roman"/>
          <w:sz w:val="24"/>
          <w:szCs w:val="24"/>
        </w:rPr>
        <w:t>, e de acordo com o art.º 8.º do Estatuto das IPSS, estas entidades adquirem automaticamente a natureza de PCUP.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C68270" w14:textId="093E89D4" w:rsidR="007816BC" w:rsidRDefault="008B2786" w:rsidP="007816BC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2786">
        <w:rPr>
          <w:rFonts w:ascii="Times New Roman" w:hAnsi="Times New Roman" w:cs="Times New Roman"/>
          <w:sz w:val="24"/>
          <w:szCs w:val="24"/>
        </w:rPr>
        <w:t>O</w:t>
      </w:r>
      <w:r w:rsidR="007816BC" w:rsidRPr="008B2786">
        <w:rPr>
          <w:rFonts w:ascii="Times New Roman" w:hAnsi="Times New Roman" w:cs="Times New Roman"/>
          <w:sz w:val="24"/>
          <w:szCs w:val="24"/>
        </w:rPr>
        <w:t xml:space="preserve"> gráfico seguinte representa a Forma Jurídica de como as IPSS foram registadas </w:t>
      </w:r>
      <w:r w:rsidR="00163F1F">
        <w:rPr>
          <w:rFonts w:ascii="Times New Roman" w:hAnsi="Times New Roman" w:cs="Times New Roman"/>
          <w:sz w:val="24"/>
          <w:szCs w:val="24"/>
        </w:rPr>
        <w:t>na RAM</w:t>
      </w:r>
      <w:r w:rsidR="007816BC" w:rsidRPr="008B2786">
        <w:rPr>
          <w:rFonts w:ascii="Times New Roman" w:hAnsi="Times New Roman" w:cs="Times New Roman"/>
          <w:sz w:val="24"/>
          <w:szCs w:val="24"/>
        </w:rPr>
        <w:t>.</w:t>
      </w:r>
      <w:r w:rsidR="007816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405B67" w14:textId="52725E34" w:rsidR="008B2786" w:rsidRPr="008B2786" w:rsidRDefault="008B2786" w:rsidP="007816BC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>Gráfico 1 - Forma Jurídica de como as IPSS registadas na RAM</w:t>
      </w:r>
    </w:p>
    <w:p w14:paraId="445774BA" w14:textId="77777777" w:rsidR="003D4464" w:rsidRDefault="003D4464" w:rsidP="00163F1F">
      <w:pPr>
        <w:pStyle w:val="SemEspaamento"/>
        <w:spacing w:after="120" w:line="480" w:lineRule="auto"/>
        <w:jc w:val="both"/>
        <w:rPr>
          <w:rFonts w:ascii="Times New Roman" w:hAnsi="Times New Roman" w:cs="Times New Roman"/>
          <w:color w:val="00B050"/>
          <w:sz w:val="24"/>
          <w:szCs w:val="24"/>
        </w:rPr>
      </w:pPr>
      <w:r w:rsidRPr="000A4EC7">
        <w:rPr>
          <w:rFonts w:ascii="Times New Roman" w:hAnsi="Times New Roman" w:cs="Times New Roman"/>
          <w:noProof/>
          <w:lang w:eastAsia="pt-PT"/>
        </w:rPr>
        <w:drawing>
          <wp:inline distT="0" distB="0" distL="0" distR="0" wp14:anchorId="7856650C" wp14:editId="4B5DCCA7">
            <wp:extent cx="5707380" cy="2506980"/>
            <wp:effectExtent l="0" t="0" r="7620" b="7620"/>
            <wp:docPr id="1" name="Gráfico 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27526904-5426-4CF7-BA64-61346B6505A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13D9511" w14:textId="74454639" w:rsidR="008B2786" w:rsidRDefault="008B2786" w:rsidP="008B2786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Podemos verificar que existe uma maior concentração de IPSS que detêm a forma de Fundação de Solidariedade Social, existindo dezoito entidades com este estatuto. </w:t>
      </w:r>
      <w:r w:rsidR="00163F1F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s Associações de Solidariedade Social</w:t>
      </w:r>
      <w:r w:rsidR="00163F1F">
        <w:rPr>
          <w:rFonts w:ascii="Times New Roman" w:hAnsi="Times New Roman" w:cs="Times New Roman"/>
          <w:sz w:val="24"/>
          <w:szCs w:val="24"/>
        </w:rPr>
        <w:t xml:space="preserve"> são</w:t>
      </w:r>
      <w:r>
        <w:rPr>
          <w:rFonts w:ascii="Times New Roman" w:hAnsi="Times New Roman" w:cs="Times New Roman"/>
          <w:sz w:val="24"/>
          <w:szCs w:val="24"/>
        </w:rPr>
        <w:t xml:space="preserve"> catorze. As Formas Jurídicas com menos entidades são as Organizações Não Governamentais bem como a entidade que está registada como Pessoa Coletiva de Utilidade Pública. </w:t>
      </w:r>
    </w:p>
    <w:p w14:paraId="3F6B1B48" w14:textId="77777777" w:rsidR="00163F1F" w:rsidRDefault="00163F1F" w:rsidP="00566B1A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 seguida no </w:t>
      </w:r>
      <w:r w:rsidR="00566B1A">
        <w:rPr>
          <w:rFonts w:ascii="Times New Roman" w:hAnsi="Times New Roman" w:cs="Times New Roman"/>
          <w:sz w:val="24"/>
          <w:szCs w:val="24"/>
        </w:rPr>
        <w:t xml:space="preserve">gráfico seguinte observamos como as entidades atuam. </w:t>
      </w:r>
    </w:p>
    <w:p w14:paraId="0E9F8E7A" w14:textId="15D3F59C" w:rsidR="00163F1F" w:rsidRPr="008B2786" w:rsidRDefault="00163F1F" w:rsidP="00163F1F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 xml:space="preserve">Gráfico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01C6">
        <w:rPr>
          <w:rFonts w:ascii="Times New Roman" w:hAnsi="Times New Roman" w:cs="Times New Roman"/>
          <w:b/>
          <w:sz w:val="24"/>
          <w:szCs w:val="24"/>
        </w:rPr>
        <w:t>Setor de atividade</w:t>
      </w:r>
      <w:r w:rsidR="005901C6" w:rsidRPr="008B2786">
        <w:rPr>
          <w:rFonts w:ascii="Times New Roman" w:hAnsi="Times New Roman" w:cs="Times New Roman"/>
          <w:b/>
          <w:sz w:val="24"/>
          <w:szCs w:val="24"/>
        </w:rPr>
        <w:t xml:space="preserve"> IPSS registado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na RAM</w:t>
      </w:r>
    </w:p>
    <w:p w14:paraId="7564B070" w14:textId="6B56AD68" w:rsidR="00163F1F" w:rsidRDefault="00163F1F" w:rsidP="00566B1A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77475428" wp14:editId="627882D5">
            <wp:extent cx="5029200" cy="5581650"/>
            <wp:effectExtent l="0" t="0" r="0" b="0"/>
            <wp:docPr id="8" name="Gráfico 8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40275A54-C3C4-4766-99C7-0B52E6836AB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32D1B991" w14:textId="77777777" w:rsidR="00163F1F" w:rsidRDefault="00163F1F" w:rsidP="00566B1A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C8B356" w14:textId="77777777" w:rsidR="00163F1F" w:rsidRDefault="00163F1F" w:rsidP="00566B1A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1FCFB36" w14:textId="6AE365EB" w:rsidR="00566B1A" w:rsidRPr="00566B1A" w:rsidRDefault="00566B1A" w:rsidP="00566B1A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maioria das IPSS concentra-se na Inclusão Social, existindo vinte e sete entidades que se preocupam em incluir as crianças, jovens e os idosos na sociedade. Podemos observar</w:t>
      </w:r>
      <w:r w:rsidR="007A36FF">
        <w:rPr>
          <w:rFonts w:ascii="Times New Roman" w:hAnsi="Times New Roman" w:cs="Times New Roman"/>
          <w:sz w:val="24"/>
          <w:szCs w:val="24"/>
        </w:rPr>
        <w:t xml:space="preserve"> que existe atividades, c</w:t>
      </w:r>
      <w:r>
        <w:rPr>
          <w:rFonts w:ascii="Times New Roman" w:hAnsi="Times New Roman" w:cs="Times New Roman"/>
          <w:sz w:val="24"/>
          <w:szCs w:val="24"/>
        </w:rPr>
        <w:t xml:space="preserve">omo: </w:t>
      </w:r>
      <w:r w:rsidR="003353D7" w:rsidRPr="00566B1A">
        <w:rPr>
          <w:rFonts w:ascii="Times New Roman" w:hAnsi="Times New Roman" w:cs="Times New Roman"/>
          <w:sz w:val="24"/>
          <w:szCs w:val="24"/>
        </w:rPr>
        <w:t>Ação</w:t>
      </w:r>
      <w:r w:rsidRPr="00566B1A">
        <w:rPr>
          <w:rFonts w:ascii="Times New Roman" w:hAnsi="Times New Roman" w:cs="Times New Roman"/>
          <w:sz w:val="24"/>
          <w:szCs w:val="24"/>
        </w:rPr>
        <w:t xml:space="preserve"> Social</w:t>
      </w:r>
      <w:r>
        <w:rPr>
          <w:rFonts w:ascii="Times New Roman" w:hAnsi="Times New Roman" w:cs="Times New Roman"/>
          <w:sz w:val="24"/>
          <w:szCs w:val="24"/>
        </w:rPr>
        <w:t>; Apoio</w:t>
      </w:r>
      <w:r w:rsidRPr="00566B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à</w:t>
      </w:r>
      <w:r w:rsidRPr="00566B1A">
        <w:rPr>
          <w:rFonts w:ascii="Times New Roman" w:hAnsi="Times New Roman" w:cs="Times New Roman"/>
          <w:sz w:val="24"/>
          <w:szCs w:val="24"/>
        </w:rPr>
        <w:t>s Vítimas do Crime de Violência Doméstica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566B1A">
        <w:rPr>
          <w:rFonts w:ascii="Times New Roman" w:hAnsi="Times New Roman" w:cs="Times New Roman"/>
          <w:sz w:val="24"/>
          <w:szCs w:val="24"/>
        </w:rPr>
        <w:t xml:space="preserve">Apoio a Pessoas </w:t>
      </w:r>
      <w:r w:rsidR="003353D7" w:rsidRPr="00566B1A">
        <w:rPr>
          <w:rFonts w:ascii="Times New Roman" w:hAnsi="Times New Roman" w:cs="Times New Roman"/>
          <w:sz w:val="24"/>
          <w:szCs w:val="24"/>
        </w:rPr>
        <w:t>Infetadas</w:t>
      </w:r>
      <w:r w:rsidRPr="00566B1A">
        <w:rPr>
          <w:rFonts w:ascii="Times New Roman" w:hAnsi="Times New Roman" w:cs="Times New Roman"/>
          <w:sz w:val="24"/>
          <w:szCs w:val="24"/>
        </w:rPr>
        <w:t xml:space="preserve"> e </w:t>
      </w:r>
      <w:r w:rsidR="003353D7" w:rsidRPr="00566B1A">
        <w:rPr>
          <w:rFonts w:ascii="Times New Roman" w:hAnsi="Times New Roman" w:cs="Times New Roman"/>
          <w:sz w:val="24"/>
          <w:szCs w:val="24"/>
        </w:rPr>
        <w:t>Afetadas</w:t>
      </w:r>
      <w:r w:rsidRPr="00566B1A">
        <w:rPr>
          <w:rFonts w:ascii="Times New Roman" w:hAnsi="Times New Roman" w:cs="Times New Roman"/>
          <w:sz w:val="24"/>
          <w:szCs w:val="24"/>
        </w:rPr>
        <w:t xml:space="preserve"> pelo VIH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566B1A">
        <w:rPr>
          <w:rFonts w:ascii="Times New Roman" w:hAnsi="Times New Roman" w:cs="Times New Roman"/>
          <w:sz w:val="24"/>
          <w:szCs w:val="24"/>
        </w:rPr>
        <w:t>Assistência Humanitária e Social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566B1A">
        <w:rPr>
          <w:rFonts w:ascii="Times New Roman" w:hAnsi="Times New Roman" w:cs="Times New Roman"/>
          <w:sz w:val="24"/>
          <w:szCs w:val="24"/>
        </w:rPr>
        <w:t>Centro de apoio à vida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="003353D7" w:rsidRPr="00566B1A">
        <w:rPr>
          <w:rFonts w:ascii="Times New Roman" w:hAnsi="Times New Roman" w:cs="Times New Roman"/>
          <w:sz w:val="24"/>
          <w:szCs w:val="24"/>
        </w:rPr>
        <w:t>Projetos</w:t>
      </w:r>
      <w:r w:rsidRPr="00566B1A">
        <w:rPr>
          <w:rFonts w:ascii="Times New Roman" w:hAnsi="Times New Roman" w:cs="Times New Roman"/>
          <w:sz w:val="24"/>
          <w:szCs w:val="24"/>
        </w:rPr>
        <w:t xml:space="preserve"> de Intervenção Social Intergeracional</w:t>
      </w:r>
      <w:r>
        <w:rPr>
          <w:rFonts w:ascii="Times New Roman" w:hAnsi="Times New Roman" w:cs="Times New Roman"/>
          <w:sz w:val="24"/>
          <w:szCs w:val="24"/>
        </w:rPr>
        <w:t xml:space="preserve">; e, </w:t>
      </w:r>
      <w:r w:rsidRPr="00566B1A">
        <w:rPr>
          <w:rFonts w:ascii="Times New Roman" w:hAnsi="Times New Roman" w:cs="Times New Roman"/>
          <w:sz w:val="24"/>
          <w:szCs w:val="24"/>
        </w:rPr>
        <w:t>Promoção e Divulgação do Voluntariado</w:t>
      </w:r>
      <w:r>
        <w:rPr>
          <w:rFonts w:ascii="Times New Roman" w:hAnsi="Times New Roman" w:cs="Times New Roman"/>
          <w:sz w:val="24"/>
          <w:szCs w:val="24"/>
        </w:rPr>
        <w:t>,</w:t>
      </w:r>
      <w:r w:rsidR="007A36FF">
        <w:rPr>
          <w:rFonts w:ascii="Times New Roman" w:hAnsi="Times New Roman" w:cs="Times New Roman"/>
          <w:sz w:val="24"/>
          <w:szCs w:val="24"/>
        </w:rPr>
        <w:t xml:space="preserve"> que apenas uma entidade se preocupa em trabalhar nestas áreas.</w:t>
      </w:r>
    </w:p>
    <w:p w14:paraId="64B00389" w14:textId="77777777" w:rsidR="00163F1F" w:rsidRDefault="00163F1F" w:rsidP="003D4464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Após esta breve caracterização da amostra, se seguida passaremos a analisar as questões de investigação selecionadas.</w:t>
      </w:r>
    </w:p>
    <w:p w14:paraId="763535BD" w14:textId="44799FCA" w:rsidR="00163F1F" w:rsidRPr="008127E9" w:rsidRDefault="008127E9" w:rsidP="00163F1F">
      <w:pPr>
        <w:pStyle w:val="SemEspaamento"/>
        <w:spacing w:after="120" w:line="480" w:lineRule="auto"/>
        <w:ind w:left="71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27E9">
        <w:rPr>
          <w:rFonts w:ascii="Times New Roman" w:hAnsi="Times New Roman" w:cs="Times New Roman"/>
          <w:i/>
          <w:sz w:val="24"/>
          <w:szCs w:val="24"/>
        </w:rPr>
        <w:t xml:space="preserve">Q1: </w:t>
      </w:r>
      <w:r w:rsidR="00163F1F" w:rsidRPr="008127E9">
        <w:rPr>
          <w:rFonts w:ascii="Times New Roman" w:hAnsi="Times New Roman" w:cs="Times New Roman"/>
          <w:i/>
          <w:sz w:val="24"/>
          <w:szCs w:val="24"/>
        </w:rPr>
        <w:t xml:space="preserve">As IPSS da RAM têm sítio institucional eletrónico? </w:t>
      </w:r>
    </w:p>
    <w:p w14:paraId="4414724E" w14:textId="70376E95" w:rsidR="00163F1F" w:rsidRDefault="00163F1F" w:rsidP="003D4464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 o gráfico seguinte podemos verificar a atual situação.</w:t>
      </w:r>
    </w:p>
    <w:p w14:paraId="5557C995" w14:textId="11CA9CB9" w:rsidR="00163F1F" w:rsidRPr="008B2786" w:rsidRDefault="00163F1F" w:rsidP="00163F1F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 xml:space="preserve">Gráfico 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27E9">
        <w:rPr>
          <w:rFonts w:ascii="Times New Roman" w:hAnsi="Times New Roman" w:cs="Times New Roman"/>
          <w:b/>
          <w:sz w:val="24"/>
          <w:szCs w:val="24"/>
        </w:rPr>
        <w:t xml:space="preserve">IPSS com </w:t>
      </w:r>
      <w:r w:rsidR="008127E9" w:rsidRPr="008127E9">
        <w:rPr>
          <w:rFonts w:ascii="Times New Roman" w:hAnsi="Times New Roman" w:cs="Times New Roman"/>
          <w:b/>
          <w:sz w:val="24"/>
          <w:szCs w:val="24"/>
        </w:rPr>
        <w:t xml:space="preserve">sítio institucional eletrónico </w:t>
      </w:r>
      <w:r w:rsidRPr="008B2786">
        <w:rPr>
          <w:rFonts w:ascii="Times New Roman" w:hAnsi="Times New Roman" w:cs="Times New Roman"/>
          <w:b/>
          <w:sz w:val="24"/>
          <w:szCs w:val="24"/>
        </w:rPr>
        <w:t>na RAM</w:t>
      </w:r>
    </w:p>
    <w:p w14:paraId="558473B5" w14:textId="0F471DF1" w:rsidR="00163F1F" w:rsidRDefault="00163F1F" w:rsidP="00163F1F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365456E1" wp14:editId="341D48A4">
            <wp:extent cx="4152900" cy="1775460"/>
            <wp:effectExtent l="0" t="0" r="0" b="0"/>
            <wp:docPr id="3" name="Gráfico 3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B4657DE8-5004-4EEB-8DF3-3DC18A376BC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3B3F5B9" w14:textId="50B163FE" w:rsidR="00163F1F" w:rsidRDefault="00163F1F" w:rsidP="00163F1F">
      <w:pPr>
        <w:pStyle w:val="SemEspaamento"/>
        <w:spacing w:after="120" w:line="480" w:lineRule="auto"/>
        <w:ind w:firstLine="708"/>
        <w:jc w:val="both"/>
        <w:rPr>
          <w:noProof/>
        </w:rPr>
      </w:pPr>
      <w:r>
        <w:rPr>
          <w:rFonts w:ascii="Times New Roman" w:hAnsi="Times New Roman" w:cs="Times New Roman"/>
          <w:sz w:val="24"/>
          <w:szCs w:val="24"/>
        </w:rPr>
        <w:t xml:space="preserve">Como podemos observar, 56% das entidades registadas como IPSS, até à data de 31 de Maio de 2017, possuíam </w:t>
      </w:r>
      <w:r w:rsidRPr="00314384">
        <w:rPr>
          <w:rFonts w:ascii="Times New Roman" w:hAnsi="Times New Roman" w:cs="Times New Roman"/>
          <w:sz w:val="24"/>
          <w:szCs w:val="24"/>
        </w:rPr>
        <w:t>sítio institucional eletrónico</w:t>
      </w:r>
      <w:r>
        <w:rPr>
          <w:rFonts w:ascii="Times New Roman" w:hAnsi="Times New Roman" w:cs="Times New Roman"/>
          <w:sz w:val="24"/>
          <w:szCs w:val="24"/>
        </w:rPr>
        <w:t xml:space="preserve">, ou seja, a maioria das IPSS tiveram a preocupação em criar um </w:t>
      </w:r>
      <w:r w:rsidRPr="00163F1F">
        <w:rPr>
          <w:rFonts w:ascii="Times New Roman" w:hAnsi="Times New Roman" w:cs="Times New Roman"/>
          <w:i/>
          <w:sz w:val="24"/>
          <w:szCs w:val="24"/>
        </w:rPr>
        <w:t>site</w:t>
      </w:r>
      <w:r>
        <w:rPr>
          <w:rFonts w:ascii="Times New Roman" w:hAnsi="Times New Roman" w:cs="Times New Roman"/>
          <w:sz w:val="24"/>
          <w:szCs w:val="24"/>
        </w:rPr>
        <w:t xml:space="preserve">. Enquanto 44% das entidades, ou seja, vinte e quatro entidades não criaram o seu sítio institucional eletrónico para assim cumprirem com as suas obrigações. </w:t>
      </w:r>
    </w:p>
    <w:p w14:paraId="651CEC45" w14:textId="77777777" w:rsidR="003D4464" w:rsidRDefault="003D4464" w:rsidP="003D4464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8F3F3E9" w14:textId="77777777" w:rsidR="008127E9" w:rsidRDefault="008127E9" w:rsidP="003D4464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75B7950" w14:textId="3E1DDD7E" w:rsidR="008127E9" w:rsidRPr="008127E9" w:rsidRDefault="008127E9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27E9">
        <w:rPr>
          <w:rFonts w:ascii="Times New Roman" w:hAnsi="Times New Roman" w:cs="Times New Roman"/>
          <w:i/>
          <w:sz w:val="24"/>
          <w:szCs w:val="24"/>
        </w:rPr>
        <w:lastRenderedPageBreak/>
        <w:t xml:space="preserve">Q2: </w:t>
      </w:r>
      <w:r w:rsidR="000A4EC7" w:rsidRPr="008127E9">
        <w:rPr>
          <w:rFonts w:ascii="Times New Roman" w:hAnsi="Times New Roman" w:cs="Times New Roman"/>
          <w:i/>
          <w:sz w:val="24"/>
          <w:szCs w:val="24"/>
        </w:rPr>
        <w:t xml:space="preserve">As IPSS da RAM publicam as suas contas nesse sítio institucional </w:t>
      </w:r>
      <w:r w:rsidRPr="008127E9">
        <w:rPr>
          <w:rFonts w:ascii="Times New Roman" w:hAnsi="Times New Roman" w:cs="Times New Roman"/>
          <w:i/>
          <w:sz w:val="24"/>
          <w:szCs w:val="24"/>
        </w:rPr>
        <w:t>eletrónico?</w:t>
      </w:r>
      <w:r w:rsidR="00CB402B" w:rsidRPr="008127E9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85C06F5" w14:textId="09E1358E" w:rsidR="008127E9" w:rsidRPr="008B2786" w:rsidRDefault="008127E9" w:rsidP="008127E9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 xml:space="preserve">Gráfico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IPSS da RAM com contas publicadas no </w:t>
      </w:r>
      <w:r w:rsidRPr="008127E9">
        <w:rPr>
          <w:rFonts w:ascii="Times New Roman" w:hAnsi="Times New Roman" w:cs="Times New Roman"/>
          <w:b/>
          <w:sz w:val="24"/>
          <w:szCs w:val="24"/>
        </w:rPr>
        <w:t xml:space="preserve">sítio institucional eletrónico </w:t>
      </w:r>
    </w:p>
    <w:p w14:paraId="48B4BCEF" w14:textId="45684136" w:rsidR="008127E9" w:rsidRDefault="008127E9" w:rsidP="008127E9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4B9A847E" wp14:editId="35B80FE2">
            <wp:extent cx="4328160" cy="1775460"/>
            <wp:effectExtent l="0" t="0" r="0" b="0"/>
            <wp:docPr id="4" name="Gráfico 4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CA2E8E1B-4C06-4DAA-BB34-A1CD171D78A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3B81A6AE" w14:textId="6EBE0EB5" w:rsidR="003D4464" w:rsidRPr="008127E9" w:rsidRDefault="00CB402B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127E9">
        <w:rPr>
          <w:rFonts w:ascii="Times New Roman" w:hAnsi="Times New Roman" w:cs="Times New Roman"/>
          <w:sz w:val="24"/>
          <w:szCs w:val="24"/>
        </w:rPr>
        <w:t>Podemos verificar que apesar de existir trinta e uma</w:t>
      </w:r>
      <w:r w:rsidR="008127E9" w:rsidRPr="008127E9">
        <w:rPr>
          <w:rFonts w:ascii="Times New Roman" w:hAnsi="Times New Roman" w:cs="Times New Roman"/>
          <w:sz w:val="24"/>
          <w:szCs w:val="24"/>
        </w:rPr>
        <w:t xml:space="preserve"> (56% - Gráfico 3) </w:t>
      </w:r>
      <w:r w:rsidRPr="008127E9">
        <w:rPr>
          <w:rFonts w:ascii="Times New Roman" w:hAnsi="Times New Roman" w:cs="Times New Roman"/>
          <w:sz w:val="24"/>
          <w:szCs w:val="24"/>
        </w:rPr>
        <w:t xml:space="preserve">entidades que possuem site, apenas 29% dessas mesmas entidades é que publicam os seus Relatórios de Contas no seu site, ou seja, apenas dezasseis IPSS é que apresentam as contas no </w:t>
      </w:r>
      <w:r w:rsidRPr="008127E9">
        <w:rPr>
          <w:rFonts w:ascii="Times New Roman" w:hAnsi="Times New Roman" w:cs="Times New Roman"/>
          <w:i/>
          <w:sz w:val="24"/>
          <w:szCs w:val="24"/>
        </w:rPr>
        <w:t>site</w:t>
      </w:r>
      <w:r w:rsidRPr="008127E9">
        <w:rPr>
          <w:rFonts w:ascii="Times New Roman" w:hAnsi="Times New Roman" w:cs="Times New Roman"/>
          <w:sz w:val="24"/>
          <w:szCs w:val="24"/>
        </w:rPr>
        <w:t>. Havendo assim uma grande quantidade de IPSS que</w:t>
      </w:r>
      <w:r w:rsidR="008127E9" w:rsidRPr="008127E9">
        <w:rPr>
          <w:rFonts w:ascii="Times New Roman" w:hAnsi="Times New Roman" w:cs="Times New Roman"/>
          <w:sz w:val="24"/>
          <w:szCs w:val="24"/>
        </w:rPr>
        <w:t>,</w:t>
      </w:r>
      <w:r w:rsidRPr="008127E9">
        <w:rPr>
          <w:rFonts w:ascii="Times New Roman" w:hAnsi="Times New Roman" w:cs="Times New Roman"/>
          <w:sz w:val="24"/>
          <w:szCs w:val="24"/>
        </w:rPr>
        <w:t xml:space="preserve"> além de possuírem </w:t>
      </w:r>
      <w:r w:rsidRPr="008127E9">
        <w:rPr>
          <w:rFonts w:ascii="Times New Roman" w:hAnsi="Times New Roman" w:cs="Times New Roman"/>
          <w:i/>
          <w:sz w:val="24"/>
          <w:szCs w:val="24"/>
        </w:rPr>
        <w:t>site</w:t>
      </w:r>
      <w:r w:rsidR="008127E9" w:rsidRPr="008127E9">
        <w:rPr>
          <w:rFonts w:ascii="Times New Roman" w:hAnsi="Times New Roman" w:cs="Times New Roman"/>
          <w:sz w:val="24"/>
          <w:szCs w:val="24"/>
        </w:rPr>
        <w:t xml:space="preserve">, </w:t>
      </w:r>
      <w:r w:rsidRPr="008127E9">
        <w:rPr>
          <w:rFonts w:ascii="Times New Roman" w:hAnsi="Times New Roman" w:cs="Times New Roman"/>
          <w:sz w:val="24"/>
          <w:szCs w:val="24"/>
        </w:rPr>
        <w:t>não apresentam os seus Relatórios de Contas, ou seja, 79% das IPSS não publicam as contas.</w:t>
      </w:r>
    </w:p>
    <w:p w14:paraId="267A50CC" w14:textId="77777777" w:rsidR="003D4464" w:rsidRDefault="003D4464" w:rsidP="003D4464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F4F1D3F" w14:textId="45E6D898" w:rsidR="008127E9" w:rsidRDefault="008127E9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27E9">
        <w:rPr>
          <w:rFonts w:ascii="Times New Roman" w:hAnsi="Times New Roman" w:cs="Times New Roman"/>
          <w:i/>
          <w:sz w:val="24"/>
          <w:szCs w:val="24"/>
        </w:rPr>
        <w:t>Q3:</w:t>
      </w:r>
      <w:r w:rsidR="000A4EC7" w:rsidRPr="008127E9">
        <w:rPr>
          <w:rFonts w:ascii="Times New Roman" w:hAnsi="Times New Roman" w:cs="Times New Roman"/>
          <w:i/>
          <w:sz w:val="24"/>
          <w:szCs w:val="24"/>
        </w:rPr>
        <w:t xml:space="preserve"> Quais os tipos de contas que publicam e há quanto tempo é que </w:t>
      </w:r>
      <w:r w:rsidRPr="008127E9">
        <w:rPr>
          <w:rFonts w:ascii="Times New Roman" w:hAnsi="Times New Roman" w:cs="Times New Roman"/>
          <w:i/>
          <w:sz w:val="24"/>
          <w:szCs w:val="24"/>
        </w:rPr>
        <w:t>publicam?</w:t>
      </w:r>
    </w:p>
    <w:p w14:paraId="4410219A" w14:textId="31E483D0" w:rsidR="008127E9" w:rsidRDefault="008127E9" w:rsidP="008127E9">
      <w:pPr>
        <w:pStyle w:val="SemEspaamento"/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Primeiro procuramos verificar qual o normativo que seguem e o resultado está visível no gráfico seguinte:</w:t>
      </w:r>
    </w:p>
    <w:p w14:paraId="0B309BB3" w14:textId="671C5EB4" w:rsidR="001355F1" w:rsidRPr="008B2786" w:rsidRDefault="001355F1" w:rsidP="001355F1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 xml:space="preserve">Gráfico 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Qual o normativo contabilístico utilizado pelas IPSS da RAM</w:t>
      </w:r>
      <w:r w:rsidRPr="008127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D6EBA52" w14:textId="44C6D16B" w:rsidR="008127E9" w:rsidRDefault="008127E9" w:rsidP="001355F1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1A5CDE53" wp14:editId="67FD7DCF">
            <wp:extent cx="4541520" cy="1562100"/>
            <wp:effectExtent l="0" t="0" r="0" b="0"/>
            <wp:docPr id="9" name="Gráfico 9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05A0B562-4B23-4255-AECB-AD18CF2881C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1C5E11A4" w14:textId="4879F1B2" w:rsidR="001355F1" w:rsidRDefault="001355F1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Podemos também afirmar que todas as IPSS que publicaram as suas contas seguiram o </w:t>
      </w:r>
      <w:r w:rsidRPr="00314384">
        <w:rPr>
          <w:rFonts w:ascii="Times New Roman" w:hAnsi="Times New Roman" w:cs="Times New Roman"/>
          <w:sz w:val="24"/>
          <w:szCs w:val="24"/>
        </w:rPr>
        <w:t>regime da normalização contabilística para 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019D9">
        <w:rPr>
          <w:rFonts w:ascii="Times New Roman" w:hAnsi="Times New Roman" w:cs="Times New Roman"/>
          <w:sz w:val="24"/>
          <w:szCs w:val="24"/>
        </w:rPr>
        <w:t>ESNL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41B8780" w14:textId="53DA0B77" w:rsidR="001355F1" w:rsidRPr="008B2786" w:rsidRDefault="001355F1" w:rsidP="001355F1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 xml:space="preserve">Gráfico 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Qual o tipo de contas que publicas as IPSS da RAM</w:t>
      </w:r>
      <w:r w:rsidRPr="008127E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1B00D96" w14:textId="2C55FF4B" w:rsidR="001355F1" w:rsidRDefault="001355F1" w:rsidP="001355F1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7A2FB3DD" wp14:editId="2024E9E8">
            <wp:extent cx="4381500" cy="1661160"/>
            <wp:effectExtent l="0" t="0" r="0" b="0"/>
            <wp:docPr id="10" name="Gráfico 10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7B76B978-333C-4072-BCD5-9D4E39E0228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4A0613B3" w14:textId="77777777" w:rsidR="001355F1" w:rsidRDefault="001355F1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93A0605" w14:textId="77777777" w:rsidR="001355F1" w:rsidRDefault="00611891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Verificamos que dos 29% das entidades que publicam as suas contas no site, apenas 27% é que apresentou o Relatório de Contas</w:t>
      </w:r>
      <w:r w:rsidR="001355F1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2% das IPSS publicou o Balancete Geral. </w:t>
      </w:r>
    </w:p>
    <w:p w14:paraId="7D90A5D6" w14:textId="156612BD" w:rsidR="001355F1" w:rsidRDefault="001355F1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2786">
        <w:rPr>
          <w:rFonts w:ascii="Times New Roman" w:hAnsi="Times New Roman" w:cs="Times New Roman"/>
          <w:b/>
          <w:sz w:val="24"/>
          <w:szCs w:val="24"/>
        </w:rPr>
        <w:t xml:space="preserve">Gráfico 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8B278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 Há quanto tempo publicam estas entidades as suas contas?</w:t>
      </w:r>
    </w:p>
    <w:p w14:paraId="3137009F" w14:textId="4C4F15D2" w:rsidR="001355F1" w:rsidRDefault="001355F1" w:rsidP="001355F1">
      <w:pPr>
        <w:pStyle w:val="SemEspaamento"/>
        <w:spacing w:after="120" w:line="48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t-PT"/>
        </w:rPr>
        <w:drawing>
          <wp:inline distT="0" distB="0" distL="0" distR="0" wp14:anchorId="1104F168" wp14:editId="53BE9A5C">
            <wp:extent cx="3939540" cy="1714500"/>
            <wp:effectExtent l="0" t="0" r="3810" b="0"/>
            <wp:docPr id="2" name="Gráfico 2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se="http://schemas.microsoft.com/office/word/2015/wordml/symex" xmlns:a16="http://schemas.microsoft.com/office/drawing/2014/main" id="{3BB884EA-E9B0-40C9-AE36-16017B6FA76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77E442B1" w14:textId="2C056657" w:rsidR="003D4464" w:rsidRPr="000D78BF" w:rsidRDefault="000D78BF" w:rsidP="008127E9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Existe uma entidade que publica há 5 anos as suas contas no site, enquanto que nove entidades publicam há 2 anos e 6 entidades publicam há 1 ano</w:t>
      </w:r>
      <w:r w:rsidR="001355F1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8D7A826" w14:textId="719A35E5" w:rsidR="000D78BF" w:rsidRPr="00C67F90" w:rsidRDefault="001355F1" w:rsidP="000D78BF">
      <w:pPr>
        <w:pStyle w:val="SemEspaamento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7F90">
        <w:rPr>
          <w:rFonts w:ascii="Times New Roman" w:hAnsi="Times New Roman" w:cs="Times New Roman"/>
          <w:b/>
          <w:sz w:val="24"/>
          <w:szCs w:val="24"/>
        </w:rPr>
        <w:t>Síntese:</w:t>
      </w:r>
    </w:p>
    <w:p w14:paraId="2E18DB3C" w14:textId="77777777" w:rsidR="00C67F90" w:rsidRDefault="001355F1" w:rsidP="000D78BF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0D78BF">
        <w:rPr>
          <w:rFonts w:ascii="Times New Roman" w:hAnsi="Times New Roman" w:cs="Times New Roman"/>
          <w:sz w:val="24"/>
          <w:szCs w:val="24"/>
        </w:rPr>
        <w:t>nalisamos que 71% das IPSS não apresent</w:t>
      </w:r>
      <w:r w:rsidR="00AB5BC1">
        <w:rPr>
          <w:rFonts w:ascii="Times New Roman" w:hAnsi="Times New Roman" w:cs="Times New Roman"/>
          <w:sz w:val="24"/>
          <w:szCs w:val="24"/>
        </w:rPr>
        <w:t>a</w:t>
      </w:r>
      <w:r w:rsidR="000D78BF">
        <w:rPr>
          <w:rFonts w:ascii="Times New Roman" w:hAnsi="Times New Roman" w:cs="Times New Roman"/>
          <w:sz w:val="24"/>
          <w:szCs w:val="24"/>
        </w:rPr>
        <w:t>ra</w:t>
      </w:r>
      <w:r w:rsidR="00AB5BC1">
        <w:rPr>
          <w:rFonts w:ascii="Times New Roman" w:hAnsi="Times New Roman" w:cs="Times New Roman"/>
          <w:sz w:val="24"/>
          <w:szCs w:val="24"/>
        </w:rPr>
        <w:t xml:space="preserve">m </w:t>
      </w:r>
      <w:r w:rsidR="000D78BF">
        <w:rPr>
          <w:rFonts w:ascii="Times New Roman" w:hAnsi="Times New Roman" w:cs="Times New Roman"/>
          <w:sz w:val="24"/>
          <w:szCs w:val="24"/>
        </w:rPr>
        <w:t xml:space="preserve">as suas </w:t>
      </w:r>
      <w:r w:rsidR="00AB5BC1">
        <w:rPr>
          <w:rFonts w:ascii="Times New Roman" w:hAnsi="Times New Roman" w:cs="Times New Roman"/>
          <w:sz w:val="24"/>
          <w:szCs w:val="24"/>
        </w:rPr>
        <w:t>contas até 31 de Maio de 2017</w:t>
      </w:r>
      <w:r w:rsidR="000D78BF">
        <w:rPr>
          <w:rFonts w:ascii="Times New Roman" w:hAnsi="Times New Roman" w:cs="Times New Roman"/>
          <w:sz w:val="24"/>
          <w:szCs w:val="24"/>
        </w:rPr>
        <w:t>,</w:t>
      </w:r>
      <w:r w:rsidR="00AB5BC1">
        <w:rPr>
          <w:rFonts w:ascii="Times New Roman" w:hAnsi="Times New Roman" w:cs="Times New Roman"/>
          <w:sz w:val="24"/>
          <w:szCs w:val="24"/>
        </w:rPr>
        <w:t xml:space="preserve"> relativamente ao ano de 2016,</w:t>
      </w:r>
      <w:r w:rsidR="000D78BF">
        <w:rPr>
          <w:rFonts w:ascii="Times New Roman" w:hAnsi="Times New Roman" w:cs="Times New Roman"/>
          <w:sz w:val="24"/>
          <w:szCs w:val="24"/>
        </w:rPr>
        <w:t xml:space="preserve"> no seu sítio institucional eletrónico</w:t>
      </w:r>
      <w:r w:rsidR="00C67F9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F845CEF" w14:textId="6ED90228" w:rsidR="00C67F90" w:rsidRDefault="00C67F90" w:rsidP="000D78BF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Trata-se de uma situação preocupante, pois existem muitas IPSS que não estão a cumprir com os requisitos legais, nomeadamente do seu Estatuto, podendo </w:t>
      </w:r>
      <w:r w:rsidR="00AB5BC1">
        <w:rPr>
          <w:rFonts w:ascii="Times New Roman" w:hAnsi="Times New Roman" w:cs="Times New Roman"/>
          <w:sz w:val="24"/>
          <w:szCs w:val="24"/>
        </w:rPr>
        <w:t xml:space="preserve">ser penalizadas </w:t>
      </w:r>
      <w:r w:rsidR="005901C6">
        <w:rPr>
          <w:rFonts w:ascii="Times New Roman" w:hAnsi="Times New Roman" w:cs="Times New Roman"/>
          <w:sz w:val="24"/>
          <w:szCs w:val="24"/>
        </w:rPr>
        <w:t>como por exemplo</w:t>
      </w:r>
      <w:r w:rsidR="00AB5BC1">
        <w:rPr>
          <w:rFonts w:ascii="Times New Roman" w:hAnsi="Times New Roman" w:cs="Times New Roman"/>
          <w:sz w:val="24"/>
          <w:szCs w:val="24"/>
        </w:rPr>
        <w:t xml:space="preserve"> deixar de receber os apoios do Estado.</w:t>
      </w:r>
    </w:p>
    <w:p w14:paraId="2000D628" w14:textId="2C0532CB" w:rsidR="00C67F90" w:rsidRPr="00C67F90" w:rsidRDefault="00C67F90" w:rsidP="00C67F90">
      <w:pPr>
        <w:pStyle w:val="SemEspaamento"/>
        <w:spacing w:after="12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7F90">
        <w:rPr>
          <w:rFonts w:ascii="Times New Roman" w:hAnsi="Times New Roman" w:cs="Times New Roman"/>
          <w:b/>
          <w:sz w:val="24"/>
          <w:szCs w:val="24"/>
        </w:rPr>
        <w:t>Considerações finais</w:t>
      </w:r>
    </w:p>
    <w:p w14:paraId="53B18A21" w14:textId="29E07307" w:rsidR="00E20A6C" w:rsidRDefault="005901C6" w:rsidP="000D78BF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 estudo empírico realizado verificamos que existe um número significativo de IPSS da RAM que não publicam as suas contas no seu site institucional</w:t>
      </w:r>
      <w:r w:rsidR="00E20A6C">
        <w:rPr>
          <w:rFonts w:ascii="Times New Roman" w:hAnsi="Times New Roman" w:cs="Times New Roman"/>
          <w:sz w:val="24"/>
          <w:szCs w:val="24"/>
        </w:rPr>
        <w:t>, relevando que ao nível da transparência ainda existe um longo caminho a percorrer.</w:t>
      </w:r>
    </w:p>
    <w:p w14:paraId="41E890D7" w14:textId="31F2C998" w:rsidR="00C67F90" w:rsidRDefault="00E20A6C" w:rsidP="000D78BF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Esperamos ter contribu</w:t>
      </w:r>
      <w:r w:rsidR="00DE57EA">
        <w:rPr>
          <w:rFonts w:ascii="Times New Roman" w:hAnsi="Times New Roman" w:cs="Times New Roman"/>
          <w:sz w:val="24"/>
          <w:szCs w:val="24"/>
        </w:rPr>
        <w:t>ído</w:t>
      </w:r>
      <w:r>
        <w:rPr>
          <w:rFonts w:ascii="Times New Roman" w:hAnsi="Times New Roman" w:cs="Times New Roman"/>
          <w:sz w:val="24"/>
          <w:szCs w:val="24"/>
        </w:rPr>
        <w:t xml:space="preserve"> como sinal de alerta para as IPSS </w:t>
      </w:r>
      <w:r w:rsidR="00DE57EA">
        <w:rPr>
          <w:rFonts w:ascii="Times New Roman" w:hAnsi="Times New Roman" w:cs="Times New Roman"/>
          <w:sz w:val="24"/>
          <w:szCs w:val="24"/>
        </w:rPr>
        <w:t xml:space="preserve">da RAM </w:t>
      </w:r>
      <w:r>
        <w:rPr>
          <w:rFonts w:ascii="Times New Roman" w:hAnsi="Times New Roman" w:cs="Times New Roman"/>
          <w:sz w:val="24"/>
          <w:szCs w:val="24"/>
        </w:rPr>
        <w:t>que ainda não estão a cumprir as regras de transparência, obrigatórias a nível contabilístico e jurídico.</w:t>
      </w:r>
    </w:p>
    <w:p w14:paraId="02DB88D4" w14:textId="77777777" w:rsidR="00E20A6C" w:rsidRDefault="00E20A6C" w:rsidP="000D78BF">
      <w:pPr>
        <w:pStyle w:val="SemEspaamento"/>
        <w:spacing w:after="120" w:line="48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A9B0970" w14:textId="72272AF3" w:rsidR="00560891" w:rsidRPr="000019D9" w:rsidRDefault="00B87763" w:rsidP="00DE57EA">
      <w:pPr>
        <w:spacing w:after="12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14384">
        <w:rPr>
          <w:rFonts w:ascii="Times New Roman" w:hAnsi="Times New Roman" w:cs="Times New Roman"/>
          <w:b/>
          <w:sz w:val="24"/>
          <w:szCs w:val="24"/>
        </w:rPr>
        <w:t>Bibliografia</w:t>
      </w:r>
    </w:p>
    <w:p w14:paraId="68C5DE88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>Almeida, M. (2013), I Congresso Internacional de IVA: As isenções no terceiro setor.</w:t>
      </w:r>
    </w:p>
    <w:p w14:paraId="09F7073D" w14:textId="623F5C5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Bandeira, A (2016). “Enquadramento contabilístico </w:t>
      </w:r>
      <w:r w:rsidR="003353D7" w:rsidRPr="000019D9">
        <w:rPr>
          <w:rFonts w:ascii="Times New Roman" w:hAnsi="Times New Roman" w:cs="Times New Roman"/>
          <w:sz w:val="24"/>
          <w:szCs w:val="24"/>
        </w:rPr>
        <w:t>das Cooperativas</w:t>
      </w:r>
      <w:r w:rsidRPr="000019D9">
        <w:rPr>
          <w:rFonts w:ascii="Times New Roman" w:hAnsi="Times New Roman" w:cs="Times New Roman"/>
          <w:sz w:val="24"/>
          <w:szCs w:val="24"/>
        </w:rPr>
        <w:t xml:space="preserve"> em Portugal: ponto de situação face às recentes alterações ao normativo contabilístico”; Cooperativismo e Economia, nº 38, ISSN 1130-2682, University of Vigo, pp. 357-366. </w:t>
      </w:r>
    </w:p>
    <w:p w14:paraId="64DD5DFD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>Carvalho, A. (2006), Enquadramento Contabilístico das Entidades Sem Fins Lucrativos - um ensaio, Dissertação de Mestrado, Universidade do Minho, Braga.</w:t>
      </w:r>
    </w:p>
    <w:p w14:paraId="1B6BA0E8" w14:textId="77777777" w:rsidR="00560891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>Estatística, I. N. (2016), Conta Sa</w:t>
      </w:r>
      <w:r>
        <w:rPr>
          <w:rFonts w:ascii="Times New Roman" w:hAnsi="Times New Roman" w:cs="Times New Roman"/>
          <w:sz w:val="24"/>
          <w:szCs w:val="24"/>
        </w:rPr>
        <w:t>télite da Economia Social 2013.</w:t>
      </w:r>
    </w:p>
    <w:p w14:paraId="0B08B0A3" w14:textId="77777777" w:rsidR="00560891" w:rsidRDefault="00560891" w:rsidP="00135412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Gil, A. (2008), </w:t>
      </w:r>
      <w:r w:rsidRPr="00135412">
        <w:rPr>
          <w:rFonts w:ascii="Times New Roman" w:hAnsi="Times New Roman" w:cs="Times New Roman"/>
          <w:i/>
          <w:sz w:val="24"/>
          <w:szCs w:val="24"/>
        </w:rPr>
        <w:t>Como elaborar projetos de pesquisa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1354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Atlas, </w:t>
      </w:r>
      <w:r w:rsidRPr="00135412">
        <w:rPr>
          <w:rFonts w:ascii="Times New Roman" w:hAnsi="Times New Roman" w:cs="Times New Roman"/>
          <w:sz w:val="24"/>
          <w:szCs w:val="24"/>
        </w:rPr>
        <w:t>São Paulo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76D1436" w14:textId="77777777" w:rsidR="00560891" w:rsidRDefault="00560891" w:rsidP="00135412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Licínio Lopes Martins (2015), Breves nótulas sobre o “novo estatuto” das Instituições Particulares de Solidariedade Social no Direito nacional e no Direito da União Europeia. Cooperativismo e Economía Social, 37, 139-164 </w:t>
      </w:r>
    </w:p>
    <w:p w14:paraId="5EAD41E5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lastRenderedPageBreak/>
        <w:t xml:space="preserve">Meira, Deolinda Aparício (2013), “A Lei de Bases da Economia Social Portuguesa: do projeto ao texto final”, </w:t>
      </w:r>
      <w:r w:rsidRPr="000019D9">
        <w:rPr>
          <w:rFonts w:ascii="Times New Roman" w:hAnsi="Times New Roman" w:cs="Times New Roman"/>
          <w:i/>
          <w:sz w:val="24"/>
          <w:szCs w:val="24"/>
        </w:rPr>
        <w:t>CIRIEC-España, revista jurídica de economia social y cooperativa</w:t>
      </w:r>
      <w:r w:rsidRPr="000019D9">
        <w:rPr>
          <w:rFonts w:ascii="Times New Roman" w:hAnsi="Times New Roman" w:cs="Times New Roman"/>
          <w:sz w:val="24"/>
          <w:szCs w:val="24"/>
        </w:rPr>
        <w:t>, n.º 243, p. 21-52.</w:t>
      </w:r>
    </w:p>
    <w:p w14:paraId="37C5C5B5" w14:textId="77777777" w:rsidR="00560891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Monzón, J., &amp; Chaves, R. (2012), </w:t>
      </w:r>
      <w:r w:rsidRPr="000019D9">
        <w:rPr>
          <w:rFonts w:ascii="Times New Roman" w:hAnsi="Times New Roman" w:cs="Times New Roman"/>
          <w:i/>
          <w:sz w:val="24"/>
          <w:szCs w:val="24"/>
        </w:rPr>
        <w:t>A Economia Social na União Europeia</w:t>
      </w:r>
      <w:r w:rsidRPr="000019D9">
        <w:rPr>
          <w:rFonts w:ascii="Times New Roman" w:hAnsi="Times New Roman" w:cs="Times New Roman"/>
          <w:sz w:val="24"/>
          <w:szCs w:val="24"/>
        </w:rPr>
        <w:t xml:space="preserve">, Bruxelas: Síntese do relatório elaborado a pedido do Comité Económico e Social Europeu pelo Centro Internacional de Pesquisa e Informação sobre Economia Pública, Social e Cooperativa (CIRIEC). </w:t>
      </w:r>
    </w:p>
    <w:p w14:paraId="393E9097" w14:textId="77777777" w:rsidR="00560891" w:rsidRPr="00030B5E" w:rsidRDefault="00560891" w:rsidP="00030B5E">
      <w:pPr>
        <w:pStyle w:val="SemEspaamento"/>
        <w:spacing w:after="120" w:line="36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30B5E">
        <w:rPr>
          <w:rFonts w:ascii="Times New Roman" w:hAnsi="Times New Roman" w:cs="Times New Roman"/>
          <w:sz w:val="24"/>
          <w:szCs w:val="24"/>
        </w:rPr>
        <w:t xml:space="preserve">Pacheco, J. (2006), Currículo, Investigação e Mudança, In. L. Lima, J. Pacheco, M. Esteves, &amp; R. Canário, </w:t>
      </w:r>
      <w:r w:rsidRPr="00030B5E">
        <w:rPr>
          <w:rFonts w:ascii="Times New Roman" w:hAnsi="Times New Roman" w:cs="Times New Roman"/>
          <w:i/>
          <w:sz w:val="24"/>
          <w:szCs w:val="24"/>
        </w:rPr>
        <w:t>A educação em Portugal (1986-2006) – Alguns contributos de investigação</w:t>
      </w:r>
      <w:r w:rsidRPr="00030B5E">
        <w:rPr>
          <w:rFonts w:ascii="Times New Roman" w:hAnsi="Times New Roman" w:cs="Times New Roman"/>
          <w:sz w:val="24"/>
          <w:szCs w:val="24"/>
        </w:rPr>
        <w:t xml:space="preserve">, Sociedade Portuguesa de Ciências da Educação, Porto. </w:t>
      </w:r>
    </w:p>
    <w:p w14:paraId="303DB08C" w14:textId="77777777" w:rsidR="00560891" w:rsidRPr="00030B5E" w:rsidRDefault="00560891" w:rsidP="00030B5E">
      <w:pPr>
        <w:pStyle w:val="Textodenotaderodap"/>
        <w:spacing w:line="360" w:lineRule="auto"/>
        <w:ind w:left="567" w:hanging="499"/>
        <w:rPr>
          <w:sz w:val="24"/>
          <w:szCs w:val="24"/>
        </w:rPr>
      </w:pPr>
      <w:r w:rsidRPr="00030B5E">
        <w:rPr>
          <w:sz w:val="24"/>
          <w:szCs w:val="24"/>
        </w:rPr>
        <w:t xml:space="preserve">Quelhas, A. P., ‘O Terceiro Sector na encruzilhada do Sistema Financeiro. O caso das Caixas de Crédito Agrícola Mútuo e das Caixas Económicas em Portugal’, </w:t>
      </w:r>
      <w:r w:rsidRPr="00030B5E">
        <w:rPr>
          <w:i/>
          <w:sz w:val="24"/>
          <w:szCs w:val="24"/>
        </w:rPr>
        <w:t>Boletim de Ciências Económicas</w:t>
      </w:r>
      <w:r w:rsidRPr="00030B5E">
        <w:rPr>
          <w:sz w:val="24"/>
          <w:szCs w:val="24"/>
        </w:rPr>
        <w:t>, Vol. XLVIII, Universidade de Coimbra, Coimbra, 2005, pp. 199- 259.</w:t>
      </w:r>
    </w:p>
    <w:p w14:paraId="49AAAD78" w14:textId="77777777" w:rsidR="00560891" w:rsidRPr="00030B5E" w:rsidRDefault="00560891" w:rsidP="00030B5E">
      <w:pPr>
        <w:pStyle w:val="Textodenotaderodap"/>
        <w:spacing w:line="360" w:lineRule="auto"/>
        <w:ind w:left="567" w:hanging="499"/>
        <w:rPr>
          <w:sz w:val="24"/>
          <w:szCs w:val="24"/>
        </w:rPr>
      </w:pPr>
      <w:r w:rsidRPr="00030B5E">
        <w:rPr>
          <w:sz w:val="24"/>
          <w:szCs w:val="24"/>
        </w:rPr>
        <w:t xml:space="preserve">Rodrigues, A. M. G., ‘Os novos desafios da contabilidade para organizações da economia social que aplicam o SNC’, </w:t>
      </w:r>
      <w:r w:rsidRPr="00030B5E">
        <w:rPr>
          <w:i/>
          <w:sz w:val="24"/>
          <w:szCs w:val="24"/>
        </w:rPr>
        <w:t>Cooperativismo e Economia Social</w:t>
      </w:r>
      <w:r w:rsidRPr="00030B5E">
        <w:rPr>
          <w:sz w:val="24"/>
          <w:szCs w:val="24"/>
        </w:rPr>
        <w:t>, 2010, 32, pp. 115-140.</w:t>
      </w:r>
    </w:p>
    <w:p w14:paraId="33CDC0CB" w14:textId="77777777" w:rsidR="00560891" w:rsidRPr="00030B5E" w:rsidRDefault="00560891" w:rsidP="00030B5E">
      <w:pPr>
        <w:pStyle w:val="Textodenotaderodap"/>
        <w:spacing w:line="360" w:lineRule="auto"/>
        <w:ind w:left="567" w:hanging="499"/>
        <w:rPr>
          <w:sz w:val="24"/>
          <w:szCs w:val="24"/>
        </w:rPr>
      </w:pPr>
      <w:r w:rsidRPr="00030B5E">
        <w:rPr>
          <w:sz w:val="24"/>
          <w:szCs w:val="24"/>
        </w:rPr>
        <w:t xml:space="preserve">Rodrigues, A.M. G., ‘A alteração das exigências de certificação legal de contas para as entidades que aplicam a NCRF-ESNL’, </w:t>
      </w:r>
      <w:r w:rsidRPr="00030B5E">
        <w:rPr>
          <w:i/>
          <w:sz w:val="24"/>
          <w:szCs w:val="24"/>
        </w:rPr>
        <w:t>Cooperativismo e Economia Social</w:t>
      </w:r>
      <w:r w:rsidRPr="00030B5E">
        <w:rPr>
          <w:sz w:val="24"/>
          <w:szCs w:val="24"/>
        </w:rPr>
        <w:t>, 2014, 36, pp. 291-304.</w:t>
      </w:r>
    </w:p>
    <w:p w14:paraId="7769EA4F" w14:textId="77777777" w:rsidR="00560891" w:rsidRPr="000019D9" w:rsidRDefault="00560891" w:rsidP="00030B5E">
      <w:pPr>
        <w:pStyle w:val="SemEspaamento"/>
        <w:spacing w:after="120" w:line="36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30B5E">
        <w:rPr>
          <w:rFonts w:ascii="Times New Roman" w:hAnsi="Times New Roman" w:cs="Times New Roman"/>
          <w:sz w:val="24"/>
          <w:szCs w:val="24"/>
        </w:rPr>
        <w:t>Romão, F. (2002), Metodologia de Desenvolvimento de um sistema</w:t>
      </w:r>
      <w:r w:rsidRPr="000019D9">
        <w:rPr>
          <w:rFonts w:ascii="Times New Roman" w:hAnsi="Times New Roman" w:cs="Times New Roman"/>
          <w:sz w:val="24"/>
          <w:szCs w:val="24"/>
        </w:rPr>
        <w:t xml:space="preserve"> de Informação para uma Instituição Particular de Solidariedade Social, Universidade de Aveiro, Aveiro. </w:t>
      </w:r>
    </w:p>
    <w:p w14:paraId="354ECC3D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Santos, J., Lima, R., &amp; Raimundo, J. (2011), “Norma Contabilística e Relato Financeiro para Entidades do Setor Não Lucrativo (NCRF-ESNL)”, </w:t>
      </w:r>
      <w:r w:rsidRPr="000019D9">
        <w:rPr>
          <w:rFonts w:ascii="Times New Roman" w:hAnsi="Times New Roman" w:cs="Times New Roman"/>
          <w:i/>
          <w:sz w:val="24"/>
          <w:szCs w:val="24"/>
        </w:rPr>
        <w:t>Manual OTOC</w:t>
      </w:r>
      <w:r w:rsidRPr="000019D9">
        <w:rPr>
          <w:rFonts w:ascii="Times New Roman" w:hAnsi="Times New Roman" w:cs="Times New Roman"/>
          <w:sz w:val="24"/>
          <w:szCs w:val="24"/>
        </w:rPr>
        <w:t>.</w:t>
      </w:r>
    </w:p>
    <w:p w14:paraId="2AFE1D99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Teixeira, Z. (2014), </w:t>
      </w:r>
      <w:r w:rsidRPr="000019D9">
        <w:rPr>
          <w:rFonts w:ascii="Times New Roman" w:hAnsi="Times New Roman" w:cs="Times New Roman"/>
          <w:i/>
          <w:sz w:val="24"/>
          <w:szCs w:val="24"/>
        </w:rPr>
        <w:t>O Relato Financeiro nas IPSS: Estudo de caso de uma IPSS do concelho de Vila Nova de Gaia</w:t>
      </w:r>
      <w:r w:rsidRPr="000019D9">
        <w:rPr>
          <w:rFonts w:ascii="Times New Roman" w:hAnsi="Times New Roman" w:cs="Times New Roman"/>
          <w:sz w:val="24"/>
          <w:szCs w:val="24"/>
        </w:rPr>
        <w:t>, Dissertação de Mestrado do ISCAP, Porto.</w:t>
      </w:r>
    </w:p>
    <w:p w14:paraId="6F1345A3" w14:textId="77777777" w:rsidR="00B87763" w:rsidRPr="000019D9" w:rsidRDefault="00B87763" w:rsidP="000841FA">
      <w:pPr>
        <w:spacing w:after="120" w:line="480" w:lineRule="auto"/>
        <w:ind w:left="567" w:hanging="49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19D9">
        <w:rPr>
          <w:rFonts w:ascii="Times New Roman" w:hAnsi="Times New Roman" w:cs="Times New Roman"/>
          <w:b/>
          <w:sz w:val="24"/>
          <w:szCs w:val="24"/>
        </w:rPr>
        <w:t>Legislação</w:t>
      </w:r>
    </w:p>
    <w:p w14:paraId="6C217BA8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lastRenderedPageBreak/>
        <w:t xml:space="preserve">Decreto-lei n.º 172-A/2014, de 14 de novembro, Diário da República n.º 221 - 1.ª série, Ministério da Solidariedade, Emprego e Segurança Social, Procede à quinta alteração ao Decreto-Lei n.º 119/83, de 25 de fevereiro, 5882-(2)-5882-(26), Lisboa. </w:t>
      </w:r>
    </w:p>
    <w:p w14:paraId="5B91C036" w14:textId="77777777" w:rsidR="00560891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>Decreto-Lei n.º 36-A/2011, de 9 de março, Diário da República n.º 48 - 1.ª série, Ministério das Finanças e da Administração Pública, Aprovação do regime da normalização contabilística para as entidades do sector não lucrativo (ES</w:t>
      </w:r>
      <w:r>
        <w:rPr>
          <w:rFonts w:ascii="Times New Roman" w:hAnsi="Times New Roman" w:cs="Times New Roman"/>
          <w:sz w:val="24"/>
          <w:szCs w:val="24"/>
        </w:rPr>
        <w:t>NL), 1344-(2)-1344(11), Lisboa.</w:t>
      </w:r>
    </w:p>
    <w:p w14:paraId="0187ABEA" w14:textId="77777777" w:rsidR="00560891" w:rsidRPr="000019D9" w:rsidRDefault="00560891" w:rsidP="00A57788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A57788">
        <w:rPr>
          <w:rFonts w:ascii="Times New Roman" w:hAnsi="Times New Roman" w:cs="Times New Roman"/>
          <w:sz w:val="24"/>
          <w:szCs w:val="24"/>
        </w:rPr>
        <w:t xml:space="preserve">Decreto-Lei n.º 391/2007, de 13 de dezembro, Diário da República n.º 240 - 1.ª série, Presidência do Conselho de Ministros, Constitui a legislação base para a atribuição do Estatuto das Coletividades de Utilidade Pública quer a associações ou fundações, pessoas coletivas privadas que prossigam fins de interesse geral, quer a pessoas coletivas de utilidade pública administrativa, 8891-8895, Lisboa. </w:t>
      </w:r>
    </w:p>
    <w:p w14:paraId="4CDAF0BF" w14:textId="77777777" w:rsidR="00560891" w:rsidRPr="000019D9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Despacho Normativo 75/92, de 20 de maio, que estabelece normas reguladoras de cooperação entre os “centros regionais de segurança social” e as </w:t>
      </w:r>
      <w:r>
        <w:rPr>
          <w:rFonts w:ascii="Times New Roman" w:hAnsi="Times New Roman" w:cs="Times New Roman"/>
          <w:sz w:val="24"/>
          <w:szCs w:val="24"/>
        </w:rPr>
        <w:t>IPSS</w:t>
      </w:r>
      <w:r w:rsidRPr="000019D9">
        <w:rPr>
          <w:rFonts w:ascii="Times New Roman" w:hAnsi="Times New Roman" w:cs="Times New Roman"/>
          <w:sz w:val="24"/>
          <w:szCs w:val="24"/>
        </w:rPr>
        <w:t>.</w:t>
      </w:r>
    </w:p>
    <w:p w14:paraId="0652A6D5" w14:textId="77777777" w:rsidR="00560891" w:rsidRDefault="00560891" w:rsidP="000841FA">
      <w:pPr>
        <w:pStyle w:val="SemEspaamento"/>
        <w:spacing w:after="120" w:line="48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  <w:r w:rsidRPr="000019D9">
        <w:rPr>
          <w:rFonts w:ascii="Times New Roman" w:hAnsi="Times New Roman" w:cs="Times New Roman"/>
          <w:sz w:val="24"/>
          <w:szCs w:val="24"/>
        </w:rPr>
        <w:t xml:space="preserve">Lei n.º 76/2015, de 28 de julho, Diário da República n.º 145 - 1.ª série, Assembleia da República, primeira alteração ao Decreto-Lei n.º 172-A/2014, de 14 de novembro e sexta alteração ao Estatuto das </w:t>
      </w:r>
      <w:r>
        <w:rPr>
          <w:rFonts w:ascii="Times New Roman" w:hAnsi="Times New Roman" w:cs="Times New Roman"/>
          <w:sz w:val="24"/>
          <w:szCs w:val="24"/>
        </w:rPr>
        <w:t>IPSS</w:t>
      </w:r>
      <w:r w:rsidRPr="000019D9">
        <w:rPr>
          <w:rFonts w:ascii="Times New Roman" w:hAnsi="Times New Roman" w:cs="Times New Roman"/>
          <w:sz w:val="24"/>
          <w:szCs w:val="24"/>
        </w:rPr>
        <w:t>, por apreciação parlamentar, 5051-5052, Lisboa.</w:t>
      </w:r>
    </w:p>
    <w:p w14:paraId="0BB91809" w14:textId="77777777" w:rsidR="00A57788" w:rsidRPr="000019D9" w:rsidRDefault="00A57788" w:rsidP="00C67F90">
      <w:pPr>
        <w:pStyle w:val="SemEspaamento"/>
        <w:spacing w:before="120" w:after="120" w:line="360" w:lineRule="auto"/>
        <w:ind w:left="567" w:hanging="499"/>
        <w:jc w:val="both"/>
        <w:rPr>
          <w:rFonts w:ascii="Times New Roman" w:hAnsi="Times New Roman" w:cs="Times New Roman"/>
          <w:sz w:val="24"/>
          <w:szCs w:val="24"/>
        </w:rPr>
      </w:pPr>
    </w:p>
    <w:sectPr w:rsidR="00A57788" w:rsidRPr="000019D9" w:rsidSect="00584B86">
      <w:footerReference w:type="default" r:id="rId17"/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758E37" w14:textId="77777777" w:rsidR="00D27FD7" w:rsidRDefault="00D27FD7" w:rsidP="009C1E40">
      <w:pPr>
        <w:spacing w:after="0" w:line="240" w:lineRule="auto"/>
      </w:pPr>
      <w:r>
        <w:separator/>
      </w:r>
    </w:p>
  </w:endnote>
  <w:endnote w:type="continuationSeparator" w:id="0">
    <w:p w14:paraId="21C07C2A" w14:textId="77777777" w:rsidR="00D27FD7" w:rsidRDefault="00D27FD7" w:rsidP="009C1E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ntro Condense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43340915"/>
      <w:docPartObj>
        <w:docPartGallery w:val="Page Numbers (Bottom of Page)"/>
        <w:docPartUnique/>
      </w:docPartObj>
    </w:sdtPr>
    <w:sdtEndPr/>
    <w:sdtContent>
      <w:p w14:paraId="3BA2BF84" w14:textId="461EAF4B" w:rsidR="00B161BD" w:rsidRDefault="00B161BD">
        <w:pPr>
          <w:pStyle w:val="Rodap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3791B">
          <w:rPr>
            <w:noProof/>
          </w:rPr>
          <w:t>16</w:t>
        </w:r>
        <w:r>
          <w:fldChar w:fldCharType="end"/>
        </w:r>
      </w:p>
    </w:sdtContent>
  </w:sdt>
  <w:p w14:paraId="276A321E" w14:textId="77777777" w:rsidR="00B161BD" w:rsidRDefault="00B161B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7790AD" w14:textId="77777777" w:rsidR="00D27FD7" w:rsidRDefault="00D27FD7" w:rsidP="009C1E40">
      <w:pPr>
        <w:spacing w:after="0" w:line="240" w:lineRule="auto"/>
      </w:pPr>
      <w:r>
        <w:separator/>
      </w:r>
    </w:p>
  </w:footnote>
  <w:footnote w:type="continuationSeparator" w:id="0">
    <w:p w14:paraId="331C4345" w14:textId="77777777" w:rsidR="00D27FD7" w:rsidRDefault="00D27FD7" w:rsidP="009C1E40">
      <w:pPr>
        <w:spacing w:after="0" w:line="240" w:lineRule="auto"/>
      </w:pPr>
      <w:r>
        <w:continuationSeparator/>
      </w:r>
    </w:p>
  </w:footnote>
  <w:footnote w:id="1">
    <w:p w14:paraId="7B80D9BA" w14:textId="08ADFB8C" w:rsidR="003353D7" w:rsidRPr="003353D7" w:rsidRDefault="003353D7" w:rsidP="003353D7">
      <w:pPr>
        <w:pStyle w:val="Textodenotaderodap"/>
      </w:pPr>
      <w:r w:rsidRPr="003353D7">
        <w:rPr>
          <w:rStyle w:val="Refdenotaderodap"/>
        </w:rPr>
        <w:footnoteRef/>
      </w:r>
      <w:r w:rsidRPr="003353D7">
        <w:t xml:space="preserve"> Informação obtida através de email da Cooperativa António Sérgio (CASES)  em Março de 2017.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7B1720"/>
    <w:multiLevelType w:val="hybridMultilevel"/>
    <w:tmpl w:val="D722BFD4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BC53F01"/>
    <w:multiLevelType w:val="hybridMultilevel"/>
    <w:tmpl w:val="8EE8D67E"/>
    <w:lvl w:ilvl="0" w:tplc="0816001B">
      <w:start w:val="1"/>
      <w:numFmt w:val="lowerRoman"/>
      <w:lvlText w:val="%1."/>
      <w:lvlJc w:val="right"/>
      <w:pPr>
        <w:ind w:left="1428" w:hanging="360"/>
      </w:pPr>
      <w:rPr>
        <w:rFonts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EBA0026"/>
    <w:multiLevelType w:val="hybridMultilevel"/>
    <w:tmpl w:val="BDBA2B90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F1761D6"/>
    <w:multiLevelType w:val="hybridMultilevel"/>
    <w:tmpl w:val="52867400"/>
    <w:lvl w:ilvl="0" w:tplc="0816001B">
      <w:start w:val="1"/>
      <w:numFmt w:val="lowerRoman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7D4A7F"/>
    <w:multiLevelType w:val="hybridMultilevel"/>
    <w:tmpl w:val="8764A614"/>
    <w:lvl w:ilvl="0" w:tplc="33CED860">
      <w:start w:val="1"/>
      <w:numFmt w:val="lowerRoman"/>
      <w:lvlText w:val="(%1)"/>
      <w:lvlJc w:val="left"/>
      <w:pPr>
        <w:ind w:left="1430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90" w:hanging="360"/>
      </w:pPr>
    </w:lvl>
    <w:lvl w:ilvl="2" w:tplc="0816001B" w:tentative="1">
      <w:start w:val="1"/>
      <w:numFmt w:val="lowerRoman"/>
      <w:lvlText w:val="%3."/>
      <w:lvlJc w:val="right"/>
      <w:pPr>
        <w:ind w:left="2510" w:hanging="180"/>
      </w:pPr>
    </w:lvl>
    <w:lvl w:ilvl="3" w:tplc="0816000F" w:tentative="1">
      <w:start w:val="1"/>
      <w:numFmt w:val="decimal"/>
      <w:lvlText w:val="%4."/>
      <w:lvlJc w:val="left"/>
      <w:pPr>
        <w:ind w:left="3230" w:hanging="360"/>
      </w:pPr>
    </w:lvl>
    <w:lvl w:ilvl="4" w:tplc="08160019" w:tentative="1">
      <w:start w:val="1"/>
      <w:numFmt w:val="lowerLetter"/>
      <w:lvlText w:val="%5."/>
      <w:lvlJc w:val="left"/>
      <w:pPr>
        <w:ind w:left="3950" w:hanging="360"/>
      </w:pPr>
    </w:lvl>
    <w:lvl w:ilvl="5" w:tplc="0816001B" w:tentative="1">
      <w:start w:val="1"/>
      <w:numFmt w:val="lowerRoman"/>
      <w:lvlText w:val="%6."/>
      <w:lvlJc w:val="right"/>
      <w:pPr>
        <w:ind w:left="4670" w:hanging="180"/>
      </w:pPr>
    </w:lvl>
    <w:lvl w:ilvl="6" w:tplc="0816000F" w:tentative="1">
      <w:start w:val="1"/>
      <w:numFmt w:val="decimal"/>
      <w:lvlText w:val="%7."/>
      <w:lvlJc w:val="left"/>
      <w:pPr>
        <w:ind w:left="5390" w:hanging="360"/>
      </w:pPr>
    </w:lvl>
    <w:lvl w:ilvl="7" w:tplc="08160019" w:tentative="1">
      <w:start w:val="1"/>
      <w:numFmt w:val="lowerLetter"/>
      <w:lvlText w:val="%8."/>
      <w:lvlJc w:val="left"/>
      <w:pPr>
        <w:ind w:left="6110" w:hanging="360"/>
      </w:pPr>
    </w:lvl>
    <w:lvl w:ilvl="8" w:tplc="08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2B1B76E5"/>
    <w:multiLevelType w:val="hybridMultilevel"/>
    <w:tmpl w:val="E6583F0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3B2881"/>
    <w:multiLevelType w:val="hybridMultilevel"/>
    <w:tmpl w:val="1DCC961A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81D721B"/>
    <w:multiLevelType w:val="hybridMultilevel"/>
    <w:tmpl w:val="70643CD2"/>
    <w:lvl w:ilvl="0" w:tplc="08160017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7444EEB"/>
    <w:multiLevelType w:val="hybridMultilevel"/>
    <w:tmpl w:val="07FE1A34"/>
    <w:lvl w:ilvl="0" w:tplc="D43C8814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8" w:hanging="360"/>
      </w:pPr>
    </w:lvl>
    <w:lvl w:ilvl="2" w:tplc="0816001B" w:tentative="1">
      <w:start w:val="1"/>
      <w:numFmt w:val="lowerRoman"/>
      <w:lvlText w:val="%3."/>
      <w:lvlJc w:val="right"/>
      <w:pPr>
        <w:ind w:left="2508" w:hanging="180"/>
      </w:pPr>
    </w:lvl>
    <w:lvl w:ilvl="3" w:tplc="0816000F" w:tentative="1">
      <w:start w:val="1"/>
      <w:numFmt w:val="decimal"/>
      <w:lvlText w:val="%4."/>
      <w:lvlJc w:val="left"/>
      <w:pPr>
        <w:ind w:left="3228" w:hanging="360"/>
      </w:pPr>
    </w:lvl>
    <w:lvl w:ilvl="4" w:tplc="08160019" w:tentative="1">
      <w:start w:val="1"/>
      <w:numFmt w:val="lowerLetter"/>
      <w:lvlText w:val="%5."/>
      <w:lvlJc w:val="left"/>
      <w:pPr>
        <w:ind w:left="3948" w:hanging="360"/>
      </w:pPr>
    </w:lvl>
    <w:lvl w:ilvl="5" w:tplc="0816001B" w:tentative="1">
      <w:start w:val="1"/>
      <w:numFmt w:val="lowerRoman"/>
      <w:lvlText w:val="%6."/>
      <w:lvlJc w:val="right"/>
      <w:pPr>
        <w:ind w:left="4668" w:hanging="180"/>
      </w:pPr>
    </w:lvl>
    <w:lvl w:ilvl="6" w:tplc="0816000F" w:tentative="1">
      <w:start w:val="1"/>
      <w:numFmt w:val="decimal"/>
      <w:lvlText w:val="%7."/>
      <w:lvlJc w:val="left"/>
      <w:pPr>
        <w:ind w:left="5388" w:hanging="360"/>
      </w:pPr>
    </w:lvl>
    <w:lvl w:ilvl="7" w:tplc="08160019" w:tentative="1">
      <w:start w:val="1"/>
      <w:numFmt w:val="lowerLetter"/>
      <w:lvlText w:val="%8."/>
      <w:lvlJc w:val="left"/>
      <w:pPr>
        <w:ind w:left="6108" w:hanging="360"/>
      </w:pPr>
    </w:lvl>
    <w:lvl w:ilvl="8" w:tplc="08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DE4473C"/>
    <w:multiLevelType w:val="hybridMultilevel"/>
    <w:tmpl w:val="0226D1BE"/>
    <w:lvl w:ilvl="0" w:tplc="765896A6">
      <w:start w:val="1"/>
      <w:numFmt w:val="lowerRoman"/>
      <w:lvlText w:val="(%1)"/>
      <w:lvlJc w:val="left"/>
      <w:pPr>
        <w:ind w:left="1429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789" w:hanging="360"/>
      </w:pPr>
    </w:lvl>
    <w:lvl w:ilvl="2" w:tplc="0816001B" w:tentative="1">
      <w:start w:val="1"/>
      <w:numFmt w:val="lowerRoman"/>
      <w:lvlText w:val="%3."/>
      <w:lvlJc w:val="right"/>
      <w:pPr>
        <w:ind w:left="2509" w:hanging="180"/>
      </w:pPr>
    </w:lvl>
    <w:lvl w:ilvl="3" w:tplc="0816000F" w:tentative="1">
      <w:start w:val="1"/>
      <w:numFmt w:val="decimal"/>
      <w:lvlText w:val="%4."/>
      <w:lvlJc w:val="left"/>
      <w:pPr>
        <w:ind w:left="3229" w:hanging="360"/>
      </w:pPr>
    </w:lvl>
    <w:lvl w:ilvl="4" w:tplc="08160019" w:tentative="1">
      <w:start w:val="1"/>
      <w:numFmt w:val="lowerLetter"/>
      <w:lvlText w:val="%5."/>
      <w:lvlJc w:val="left"/>
      <w:pPr>
        <w:ind w:left="3949" w:hanging="360"/>
      </w:pPr>
    </w:lvl>
    <w:lvl w:ilvl="5" w:tplc="0816001B" w:tentative="1">
      <w:start w:val="1"/>
      <w:numFmt w:val="lowerRoman"/>
      <w:lvlText w:val="%6."/>
      <w:lvlJc w:val="right"/>
      <w:pPr>
        <w:ind w:left="4669" w:hanging="180"/>
      </w:pPr>
    </w:lvl>
    <w:lvl w:ilvl="6" w:tplc="0816000F" w:tentative="1">
      <w:start w:val="1"/>
      <w:numFmt w:val="decimal"/>
      <w:lvlText w:val="%7."/>
      <w:lvlJc w:val="left"/>
      <w:pPr>
        <w:ind w:left="5389" w:hanging="360"/>
      </w:pPr>
    </w:lvl>
    <w:lvl w:ilvl="7" w:tplc="08160019" w:tentative="1">
      <w:start w:val="1"/>
      <w:numFmt w:val="lowerLetter"/>
      <w:lvlText w:val="%8."/>
      <w:lvlJc w:val="left"/>
      <w:pPr>
        <w:ind w:left="6109" w:hanging="360"/>
      </w:pPr>
    </w:lvl>
    <w:lvl w:ilvl="8" w:tplc="08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5EAD68D6"/>
    <w:multiLevelType w:val="hybridMultilevel"/>
    <w:tmpl w:val="F4DA040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438A2"/>
    <w:multiLevelType w:val="hybridMultilevel"/>
    <w:tmpl w:val="BD0E6E1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413E58"/>
    <w:multiLevelType w:val="hybridMultilevel"/>
    <w:tmpl w:val="FF9EE2B4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>
      <w:start w:val="1"/>
      <w:numFmt w:val="lowerRoman"/>
      <w:lvlText w:val="%3."/>
      <w:lvlJc w:val="right"/>
      <w:pPr>
        <w:ind w:left="2160" w:hanging="180"/>
      </w:pPr>
    </w:lvl>
    <w:lvl w:ilvl="3" w:tplc="0816000F">
      <w:start w:val="1"/>
      <w:numFmt w:val="decimal"/>
      <w:lvlText w:val="%4."/>
      <w:lvlJc w:val="left"/>
      <w:pPr>
        <w:ind w:left="2880" w:hanging="360"/>
      </w:pPr>
    </w:lvl>
    <w:lvl w:ilvl="4" w:tplc="08160019">
      <w:start w:val="1"/>
      <w:numFmt w:val="lowerLetter"/>
      <w:lvlText w:val="%5."/>
      <w:lvlJc w:val="left"/>
      <w:pPr>
        <w:ind w:left="3600" w:hanging="360"/>
      </w:pPr>
    </w:lvl>
    <w:lvl w:ilvl="5" w:tplc="0816001B">
      <w:start w:val="1"/>
      <w:numFmt w:val="lowerRoman"/>
      <w:lvlText w:val="%6."/>
      <w:lvlJc w:val="right"/>
      <w:pPr>
        <w:ind w:left="4320" w:hanging="180"/>
      </w:pPr>
    </w:lvl>
    <w:lvl w:ilvl="6" w:tplc="0816000F">
      <w:start w:val="1"/>
      <w:numFmt w:val="decimal"/>
      <w:lvlText w:val="%7."/>
      <w:lvlJc w:val="left"/>
      <w:pPr>
        <w:ind w:left="5040" w:hanging="360"/>
      </w:pPr>
    </w:lvl>
    <w:lvl w:ilvl="7" w:tplc="08160019">
      <w:start w:val="1"/>
      <w:numFmt w:val="lowerLetter"/>
      <w:lvlText w:val="%8."/>
      <w:lvlJc w:val="left"/>
      <w:pPr>
        <w:ind w:left="5760" w:hanging="360"/>
      </w:pPr>
    </w:lvl>
    <w:lvl w:ilvl="8" w:tplc="0816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0F79CD"/>
    <w:multiLevelType w:val="hybridMultilevel"/>
    <w:tmpl w:val="218E86AC"/>
    <w:lvl w:ilvl="0" w:tplc="FF98EE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D94BF8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082C4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FE13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54E94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AEAD4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91A4E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F4047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5ECF2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72E57B81"/>
    <w:multiLevelType w:val="hybridMultilevel"/>
    <w:tmpl w:val="D12E69EE"/>
    <w:lvl w:ilvl="0" w:tplc="5E6A922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7740BC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38AD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8B09A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41ECE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C720D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1D422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E2C2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87AABC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7EBE1C02"/>
    <w:multiLevelType w:val="hybridMultilevel"/>
    <w:tmpl w:val="BBFC5D7A"/>
    <w:lvl w:ilvl="0" w:tplc="CD68C908">
      <w:start w:val="1"/>
      <w:numFmt w:val="lowerRoman"/>
      <w:lvlText w:val="%1)"/>
      <w:lvlJc w:val="left"/>
      <w:pPr>
        <w:ind w:left="2136" w:hanging="72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2496" w:hanging="360"/>
      </w:pPr>
    </w:lvl>
    <w:lvl w:ilvl="2" w:tplc="0816001B" w:tentative="1">
      <w:start w:val="1"/>
      <w:numFmt w:val="lowerRoman"/>
      <w:lvlText w:val="%3."/>
      <w:lvlJc w:val="right"/>
      <w:pPr>
        <w:ind w:left="3216" w:hanging="180"/>
      </w:pPr>
    </w:lvl>
    <w:lvl w:ilvl="3" w:tplc="0816000F" w:tentative="1">
      <w:start w:val="1"/>
      <w:numFmt w:val="decimal"/>
      <w:lvlText w:val="%4."/>
      <w:lvlJc w:val="left"/>
      <w:pPr>
        <w:ind w:left="3936" w:hanging="360"/>
      </w:pPr>
    </w:lvl>
    <w:lvl w:ilvl="4" w:tplc="08160019" w:tentative="1">
      <w:start w:val="1"/>
      <w:numFmt w:val="lowerLetter"/>
      <w:lvlText w:val="%5."/>
      <w:lvlJc w:val="left"/>
      <w:pPr>
        <w:ind w:left="4656" w:hanging="360"/>
      </w:pPr>
    </w:lvl>
    <w:lvl w:ilvl="5" w:tplc="0816001B" w:tentative="1">
      <w:start w:val="1"/>
      <w:numFmt w:val="lowerRoman"/>
      <w:lvlText w:val="%6."/>
      <w:lvlJc w:val="right"/>
      <w:pPr>
        <w:ind w:left="5376" w:hanging="180"/>
      </w:pPr>
    </w:lvl>
    <w:lvl w:ilvl="6" w:tplc="0816000F" w:tentative="1">
      <w:start w:val="1"/>
      <w:numFmt w:val="decimal"/>
      <w:lvlText w:val="%7."/>
      <w:lvlJc w:val="left"/>
      <w:pPr>
        <w:ind w:left="6096" w:hanging="360"/>
      </w:pPr>
    </w:lvl>
    <w:lvl w:ilvl="7" w:tplc="08160019" w:tentative="1">
      <w:start w:val="1"/>
      <w:numFmt w:val="lowerLetter"/>
      <w:lvlText w:val="%8."/>
      <w:lvlJc w:val="left"/>
      <w:pPr>
        <w:ind w:left="6816" w:hanging="360"/>
      </w:pPr>
    </w:lvl>
    <w:lvl w:ilvl="8" w:tplc="0816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7"/>
  </w:num>
  <w:num w:numId="5">
    <w:abstractNumId w:val="1"/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3"/>
  </w:num>
  <w:num w:numId="9">
    <w:abstractNumId w:val="5"/>
  </w:num>
  <w:num w:numId="10">
    <w:abstractNumId w:val="11"/>
  </w:num>
  <w:num w:numId="11">
    <w:abstractNumId w:val="8"/>
  </w:num>
  <w:num w:numId="12">
    <w:abstractNumId w:val="9"/>
  </w:num>
  <w:num w:numId="13">
    <w:abstractNumId w:val="14"/>
  </w:num>
  <w:num w:numId="14">
    <w:abstractNumId w:val="13"/>
  </w:num>
  <w:num w:numId="15">
    <w:abstractNumId w:val="10"/>
  </w:num>
  <w:num w:numId="16">
    <w:abstractNumId w:val="15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945"/>
    <w:rsid w:val="000019D9"/>
    <w:rsid w:val="00030B5E"/>
    <w:rsid w:val="000337C2"/>
    <w:rsid w:val="0007161E"/>
    <w:rsid w:val="000841FA"/>
    <w:rsid w:val="000A4EC7"/>
    <w:rsid w:val="000C2839"/>
    <w:rsid w:val="000D78BF"/>
    <w:rsid w:val="0010517F"/>
    <w:rsid w:val="00135412"/>
    <w:rsid w:val="001355F1"/>
    <w:rsid w:val="00150B44"/>
    <w:rsid w:val="00163F1F"/>
    <w:rsid w:val="00163FCE"/>
    <w:rsid w:val="001701C5"/>
    <w:rsid w:val="001B78A5"/>
    <w:rsid w:val="001D5250"/>
    <w:rsid w:val="001E6172"/>
    <w:rsid w:val="001F56A6"/>
    <w:rsid w:val="0020333E"/>
    <w:rsid w:val="00267ACE"/>
    <w:rsid w:val="00284EE7"/>
    <w:rsid w:val="002969DC"/>
    <w:rsid w:val="002A66AD"/>
    <w:rsid w:val="002C098E"/>
    <w:rsid w:val="003011FD"/>
    <w:rsid w:val="00301EF8"/>
    <w:rsid w:val="00305954"/>
    <w:rsid w:val="00314384"/>
    <w:rsid w:val="003165B6"/>
    <w:rsid w:val="003353D7"/>
    <w:rsid w:val="00373A1A"/>
    <w:rsid w:val="00387C97"/>
    <w:rsid w:val="0039164E"/>
    <w:rsid w:val="003D4464"/>
    <w:rsid w:val="003F3855"/>
    <w:rsid w:val="00405FF8"/>
    <w:rsid w:val="00456623"/>
    <w:rsid w:val="0047464B"/>
    <w:rsid w:val="00495090"/>
    <w:rsid w:val="004A6250"/>
    <w:rsid w:val="004C28EB"/>
    <w:rsid w:val="004D033A"/>
    <w:rsid w:val="004F244F"/>
    <w:rsid w:val="004F5779"/>
    <w:rsid w:val="005344C9"/>
    <w:rsid w:val="00536B28"/>
    <w:rsid w:val="00560891"/>
    <w:rsid w:val="00566B1A"/>
    <w:rsid w:val="0057610E"/>
    <w:rsid w:val="00584B86"/>
    <w:rsid w:val="005901C6"/>
    <w:rsid w:val="005A07D4"/>
    <w:rsid w:val="005B7CF8"/>
    <w:rsid w:val="005C15ED"/>
    <w:rsid w:val="00611891"/>
    <w:rsid w:val="0062335F"/>
    <w:rsid w:val="00675F8C"/>
    <w:rsid w:val="006811CD"/>
    <w:rsid w:val="006819F7"/>
    <w:rsid w:val="006A0ED1"/>
    <w:rsid w:val="006B5EC5"/>
    <w:rsid w:val="006E3E1E"/>
    <w:rsid w:val="006F33A6"/>
    <w:rsid w:val="00703B43"/>
    <w:rsid w:val="00703B87"/>
    <w:rsid w:val="00712662"/>
    <w:rsid w:val="00726AC3"/>
    <w:rsid w:val="007359F1"/>
    <w:rsid w:val="0073791B"/>
    <w:rsid w:val="00765F43"/>
    <w:rsid w:val="00766CD4"/>
    <w:rsid w:val="00770EE4"/>
    <w:rsid w:val="007816BC"/>
    <w:rsid w:val="00793699"/>
    <w:rsid w:val="00793EA8"/>
    <w:rsid w:val="007A25E7"/>
    <w:rsid w:val="007A36FF"/>
    <w:rsid w:val="007B09F0"/>
    <w:rsid w:val="007B394C"/>
    <w:rsid w:val="007E41D6"/>
    <w:rsid w:val="007E5DAF"/>
    <w:rsid w:val="008029D3"/>
    <w:rsid w:val="008127E9"/>
    <w:rsid w:val="00817D0F"/>
    <w:rsid w:val="0082362C"/>
    <w:rsid w:val="00831B48"/>
    <w:rsid w:val="00836BDF"/>
    <w:rsid w:val="0087599A"/>
    <w:rsid w:val="0088405F"/>
    <w:rsid w:val="008B2786"/>
    <w:rsid w:val="008D3CBA"/>
    <w:rsid w:val="008E0DC9"/>
    <w:rsid w:val="008E1FA2"/>
    <w:rsid w:val="0090201A"/>
    <w:rsid w:val="009224A9"/>
    <w:rsid w:val="00975BA4"/>
    <w:rsid w:val="009A68AB"/>
    <w:rsid w:val="009C1E40"/>
    <w:rsid w:val="009E25F5"/>
    <w:rsid w:val="00A21E29"/>
    <w:rsid w:val="00A36884"/>
    <w:rsid w:val="00A57788"/>
    <w:rsid w:val="00A706DC"/>
    <w:rsid w:val="00A801EF"/>
    <w:rsid w:val="00A95B80"/>
    <w:rsid w:val="00AB5BC1"/>
    <w:rsid w:val="00B161BD"/>
    <w:rsid w:val="00B165D4"/>
    <w:rsid w:val="00B47D69"/>
    <w:rsid w:val="00B63CBD"/>
    <w:rsid w:val="00B865FE"/>
    <w:rsid w:val="00B87763"/>
    <w:rsid w:val="00BB5CF1"/>
    <w:rsid w:val="00BB644A"/>
    <w:rsid w:val="00C13CEF"/>
    <w:rsid w:val="00C673F6"/>
    <w:rsid w:val="00C67F90"/>
    <w:rsid w:val="00CB402B"/>
    <w:rsid w:val="00CC2B27"/>
    <w:rsid w:val="00CD5235"/>
    <w:rsid w:val="00CF554A"/>
    <w:rsid w:val="00CF655A"/>
    <w:rsid w:val="00D27FD7"/>
    <w:rsid w:val="00D478DE"/>
    <w:rsid w:val="00D80E8C"/>
    <w:rsid w:val="00D93FF8"/>
    <w:rsid w:val="00DA0AEB"/>
    <w:rsid w:val="00DA2980"/>
    <w:rsid w:val="00DB3C04"/>
    <w:rsid w:val="00DB5B86"/>
    <w:rsid w:val="00DE57EA"/>
    <w:rsid w:val="00DE7AF7"/>
    <w:rsid w:val="00DF68A6"/>
    <w:rsid w:val="00E20A6C"/>
    <w:rsid w:val="00E6040D"/>
    <w:rsid w:val="00E85377"/>
    <w:rsid w:val="00E87EFC"/>
    <w:rsid w:val="00E95623"/>
    <w:rsid w:val="00EA72DB"/>
    <w:rsid w:val="00ED0F5A"/>
    <w:rsid w:val="00EE6CF8"/>
    <w:rsid w:val="00F03FCF"/>
    <w:rsid w:val="00F06752"/>
    <w:rsid w:val="00F36CB0"/>
    <w:rsid w:val="00F51FED"/>
    <w:rsid w:val="00F7191C"/>
    <w:rsid w:val="00F9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5A162"/>
  <w15:docId w15:val="{8230DFAF-897F-4FAE-A793-1FCD506D0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3">
    <w:name w:val="A3"/>
    <w:uiPriority w:val="99"/>
    <w:rsid w:val="00584B86"/>
    <w:rPr>
      <w:rFonts w:cs="Intro Condensed"/>
      <w:b/>
      <w:bCs/>
      <w:color w:val="000000"/>
      <w:sz w:val="22"/>
      <w:szCs w:val="22"/>
    </w:rPr>
  </w:style>
  <w:style w:type="character" w:customStyle="1" w:styleId="A2">
    <w:name w:val="A2"/>
    <w:uiPriority w:val="99"/>
    <w:rsid w:val="001701C5"/>
    <w:rPr>
      <w:rFonts w:cs="Intro Condensed"/>
      <w:color w:val="000000"/>
      <w:sz w:val="20"/>
      <w:szCs w:val="20"/>
    </w:rPr>
  </w:style>
  <w:style w:type="character" w:customStyle="1" w:styleId="SemEspaamentoCarter">
    <w:name w:val="Sem Espaçamento Caráter"/>
    <w:link w:val="SemEspaamento"/>
    <w:uiPriority w:val="1"/>
    <w:locked/>
    <w:rsid w:val="00B87763"/>
    <w:rPr>
      <w:rFonts w:ascii="Calibri" w:hAnsi="Calibri" w:cs="Calibri"/>
    </w:rPr>
  </w:style>
  <w:style w:type="paragraph" w:styleId="SemEspaamento">
    <w:name w:val="No Spacing"/>
    <w:link w:val="SemEspaamentoCarter"/>
    <w:uiPriority w:val="1"/>
    <w:qFormat/>
    <w:rsid w:val="00B87763"/>
    <w:pPr>
      <w:spacing w:after="0" w:line="240" w:lineRule="auto"/>
    </w:pPr>
    <w:rPr>
      <w:rFonts w:ascii="Calibri" w:hAnsi="Calibri" w:cs="Calibri"/>
    </w:rPr>
  </w:style>
  <w:style w:type="character" w:styleId="Hiperligao">
    <w:name w:val="Hyperlink"/>
    <w:basedOn w:val="Tipodeletrapredefinidodopargrafo"/>
    <w:uiPriority w:val="99"/>
    <w:unhideWhenUsed/>
    <w:rsid w:val="00B87763"/>
    <w:rPr>
      <w:color w:val="0563C1" w:themeColor="hyperlink"/>
      <w:u w:val="single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EE6CF8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EE6CF8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EE6CF8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EE6CF8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EE6CF8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EE6C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EE6CF8"/>
    <w:rPr>
      <w:rFonts w:ascii="Segoe UI" w:hAnsi="Segoe UI" w:cs="Segoe UI"/>
      <w:sz w:val="18"/>
      <w:szCs w:val="18"/>
    </w:rPr>
  </w:style>
  <w:style w:type="character" w:styleId="Refdenotaderodap">
    <w:name w:val="footnote reference"/>
    <w:qFormat/>
    <w:rsid w:val="009C1E40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7B09F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autoRedefine/>
    <w:qFormat/>
    <w:rsid w:val="003353D7"/>
    <w:pPr>
      <w:widowControl w:val="0"/>
      <w:spacing w:before="120" w:after="120" w:line="240" w:lineRule="auto"/>
      <w:jc w:val="both"/>
      <w:outlineLvl w:val="0"/>
    </w:pPr>
    <w:rPr>
      <w:rFonts w:ascii="Times New Roman" w:eastAsia="Times New Roman" w:hAnsi="Times New Roman" w:cs="Arial"/>
      <w:sz w:val="20"/>
      <w:szCs w:val="20"/>
      <w:lang w:eastAsia="pt-PT"/>
    </w:rPr>
  </w:style>
  <w:style w:type="character" w:customStyle="1" w:styleId="TextodenotaderodapCarter">
    <w:name w:val="Texto de nota de rodapé Caráter"/>
    <w:basedOn w:val="Tipodeletrapredefinidodopargrafo"/>
    <w:link w:val="Textodenotaderodap"/>
    <w:rsid w:val="003353D7"/>
    <w:rPr>
      <w:rFonts w:ascii="Times New Roman" w:eastAsia="Times New Roman" w:hAnsi="Times New Roman" w:cs="Arial"/>
      <w:sz w:val="20"/>
      <w:szCs w:val="20"/>
      <w:lang w:eastAsia="pt-PT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E85377"/>
    <w:pPr>
      <w:pBdr>
        <w:bottom w:val="single" w:sz="4" w:space="1" w:color="auto"/>
      </w:pBdr>
      <w:spacing w:before="200" w:after="280" w:line="276" w:lineRule="auto"/>
      <w:ind w:left="1008" w:right="1152"/>
      <w:jc w:val="both"/>
    </w:pPr>
    <w:rPr>
      <w:rFonts w:eastAsiaTheme="minorEastAsia"/>
      <w:b/>
      <w:bCs/>
      <w:i/>
      <w:iCs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E85377"/>
    <w:rPr>
      <w:rFonts w:eastAsiaTheme="minorEastAsia"/>
      <w:b/>
      <w:bCs/>
      <w:i/>
      <w:iCs/>
    </w:rPr>
  </w:style>
  <w:style w:type="paragraph" w:styleId="Cabealho">
    <w:name w:val="header"/>
    <w:basedOn w:val="Normal"/>
    <w:link w:val="CabealhoCarter"/>
    <w:uiPriority w:val="99"/>
    <w:unhideWhenUsed/>
    <w:rsid w:val="00B16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B161BD"/>
  </w:style>
  <w:style w:type="paragraph" w:styleId="Rodap">
    <w:name w:val="footer"/>
    <w:basedOn w:val="Normal"/>
    <w:link w:val="RodapCarter"/>
    <w:uiPriority w:val="99"/>
    <w:unhideWhenUsed/>
    <w:rsid w:val="00B16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B16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71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565290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73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3838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74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0616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omasia_pxo@hotmail.com" TargetMode="External"/><Relationship Id="rId13" Type="http://schemas.openxmlformats.org/officeDocument/2006/relationships/chart" Target="charts/chart4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chart" Target="charts/chart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chart" Target="charts/chart6.xml"/><Relationship Id="rId10" Type="http://schemas.openxmlformats.org/officeDocument/2006/relationships/chart" Target="charts/chart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chart" Target="charts/chart5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Tom&#225;sia\Documents\Disserta&#231;&#227;o\Disserta&#231;&#227;o%20FINAL\Parte%20Empirica%20(pr&#225;tica)\Ap&#234;ndice%20-%20Lista%20IPSS%20RAM%20.xlsb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1.bin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D:\Tom&#225;sia\Documents\Disserta&#231;&#227;o\Disserta&#231;&#227;o%20FINAL\Parte%20Empirica%20(pr&#225;tica)\Ap&#234;ndice%20-%20Lista%20IPSS%20RAM%20.xlsb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2.bin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3.bin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4.bin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../embeddings/oleObject5.bin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6.4174387840074204E-2"/>
          <c:y val="0.15123343527013253"/>
          <c:w val="0.60059914197472308"/>
          <c:h val="0.80391437308868496"/>
        </c:manualLayout>
      </c:layout>
      <c:barChart>
        <c:barDir val="col"/>
        <c:grouping val="clustered"/>
        <c:varyColors val="0"/>
        <c:ser>
          <c:idx val="2"/>
          <c:order val="1"/>
          <c:tx>
            <c:strRef>
              <c:f>Folha1!$B$66</c:f>
              <c:strCache>
                <c:ptCount val="1"/>
                <c:pt idx="0">
                  <c:v>Associação de Solidariedade Social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Folha1!$C$66</c:f>
              <c:numCache>
                <c:formatCode>General</c:formatCode>
                <c:ptCount val="1"/>
                <c:pt idx="0">
                  <c:v>14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4F6-4519-A50E-0198C2B64643}"/>
            </c:ext>
          </c:extLst>
        </c:ser>
        <c:ser>
          <c:idx val="5"/>
          <c:order val="2"/>
          <c:tx>
            <c:strRef>
              <c:f>Folha1!$B$69</c:f>
              <c:strCache>
                <c:ptCount val="1"/>
                <c:pt idx="0">
                  <c:v>Casas do Povo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Folha1!$C$69</c:f>
              <c:numCache>
                <c:formatCode>General</c:formatCode>
                <c:ptCount val="1"/>
                <c:pt idx="0">
                  <c:v>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F4F6-4519-A50E-0198C2B64643}"/>
            </c:ext>
          </c:extLst>
        </c:ser>
        <c:ser>
          <c:idx val="7"/>
          <c:order val="3"/>
          <c:tx>
            <c:strRef>
              <c:f>Folha1!$B$71</c:f>
              <c:strCache>
                <c:ptCount val="1"/>
                <c:pt idx="0">
                  <c:v>Centro Social e Paroquial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Folha1!$C$71</c:f>
              <c:numCache>
                <c:formatCode>General</c:formatCode>
                <c:ptCount val="1"/>
                <c:pt idx="0">
                  <c:v>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F4F6-4519-A50E-0198C2B64643}"/>
            </c:ext>
          </c:extLst>
        </c:ser>
        <c:ser>
          <c:idx val="3"/>
          <c:order val="4"/>
          <c:tx>
            <c:strRef>
              <c:f>Folha1!$B$67</c:f>
              <c:strCache>
                <c:ptCount val="1"/>
                <c:pt idx="0">
                  <c:v>Fundação de Solidariedade Social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Folha1!$C$67</c:f>
              <c:numCache>
                <c:formatCode>General</c:formatCode>
                <c:ptCount val="1"/>
                <c:pt idx="0">
                  <c:v>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F4F6-4519-A50E-0198C2B64643}"/>
            </c:ext>
          </c:extLst>
        </c:ser>
        <c:ser>
          <c:idx val="4"/>
          <c:order val="5"/>
          <c:tx>
            <c:strRef>
              <c:f>Folha1!$B$68</c:f>
              <c:strCache>
                <c:ptCount val="1"/>
                <c:pt idx="0">
                  <c:v>Irmandades da Misericórdia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Folha1!$C$68</c:f>
              <c:numCache>
                <c:formatCode>General</c:formatCode>
                <c:ptCount val="1"/>
                <c:pt idx="0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F4F6-4519-A50E-0198C2B64643}"/>
            </c:ext>
          </c:extLst>
        </c:ser>
        <c:ser>
          <c:idx val="6"/>
          <c:order val="6"/>
          <c:tx>
            <c:strRef>
              <c:f>Folha1!$B$70</c:f>
              <c:strCache>
                <c:ptCount val="1"/>
                <c:pt idx="0">
                  <c:v>Organizações Não Governamentais (ONG's)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Folha1!$C$70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F4F6-4519-A50E-0198C2B64643}"/>
            </c:ext>
          </c:extLst>
        </c:ser>
        <c:ser>
          <c:idx val="1"/>
          <c:order val="7"/>
          <c:tx>
            <c:strRef>
              <c:f>Folha1!$B$65</c:f>
              <c:strCache>
                <c:ptCount val="1"/>
                <c:pt idx="0">
                  <c:v>Pessoa Coletiva de Utilidade Pública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val>
            <c:numRef>
              <c:f>Folha1!$C$65</c:f>
              <c:numCache>
                <c:formatCode>General</c:formatCode>
                <c:ptCount val="1"/>
                <c:pt idx="0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F4F6-4519-A50E-0198C2B64643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50"/>
        <c:axId val="78793136"/>
        <c:axId val="78793680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 xmlns:c16r2="http://schemas.microsoft.com/office/drawing/2015/06/chart">
                      <c:ext uri="{02D57815-91ED-43cb-92C2-25804820EDAC}">
                        <c15:formulaRef>
                          <c15:sqref>Folha1!$B$64</c15:sqref>
                        </c15:formulaRef>
                      </c:ext>
                    </c:extLst>
                    <c:strCache>
                      <c:ptCount val="1"/>
                      <c:pt idx="0">
                        <c:v>IPSS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dLbls>
                  <c:spPr>
                    <a:noFill/>
                    <a:ln>
                      <a:noFill/>
                    </a:ln>
                    <a:effectLst/>
                  </c:spPr>
                  <c:txPr>
                    <a:bodyPr rot="0" spcFirstLastPara="1" vertOverflow="ellipsis" vert="horz" wrap="square" lIns="38100" tIns="19050" rIns="38100" bIns="19050" anchor="ctr" anchorCtr="1">
                      <a:spAutoFit/>
                    </a:bodyPr>
                    <a:lstStyle/>
                    <a:p>
                      <a:pPr>
                        <a:defRPr sz="900" b="0" i="0" u="none" strike="noStrike" kern="1200" baseline="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+mn-lt"/>
                          <a:ea typeface="+mn-ea"/>
                          <a:cs typeface="+mn-cs"/>
                        </a:defRPr>
                      </a:pPr>
                      <a:endParaRPr lang="pt-PT"/>
                    </a:p>
                  </c:txPr>
                  <c:dLblPos val="outEnd"/>
                  <c:showLegendKey val="0"/>
                  <c:showVal val="1"/>
                  <c:showCatName val="0"/>
                  <c:showSerName val="0"/>
                  <c:showPercent val="0"/>
                  <c:showBubbleSize val="0"/>
                  <c:showLeaderLines val="0"/>
                  <c:extLst xmlns:c16r2="http://schemas.microsoft.com/office/drawing/2015/06/chart">
                    <c:ext uri="{CE6537A1-D6FC-4f65-9D91-7224C49458BB}">
                      <c15:showLeaderLines val="1"/>
                      <c15:leaderLines>
                        <c:spPr>
                          <a:ln w="9525" cap="flat" cmpd="sng" algn="ctr">
                            <a:solidFill>
                              <a:schemeClr val="tx1">
                                <a:lumMod val="35000"/>
                                <a:lumOff val="65000"/>
                              </a:schemeClr>
                            </a:solidFill>
                            <a:round/>
                          </a:ln>
                          <a:effectLst/>
                        </c:spPr>
                      </c15:leaderLines>
                    </c:ext>
                  </c:extLst>
                </c:dLbls>
                <c:val>
                  <c:numRef>
                    <c:extLst xmlns:c16r2="http://schemas.microsoft.com/office/drawing/2015/06/chart">
                      <c:ext uri="{02D57815-91ED-43cb-92C2-25804820EDAC}">
                        <c15:formulaRef>
                          <c15:sqref>Folha1!$C$64</c15:sqref>
                        </c15:formulaRef>
                      </c:ext>
                    </c:extLst>
                    <c:numCache>
                      <c:formatCode>General</c:formatCode>
                      <c:ptCount val="1"/>
                      <c:pt idx="0">
                        <c:v>55</c:v>
                      </c:pt>
                    </c:numCache>
                  </c:numRef>
                </c:val>
                <c:extLst xmlns:c16r2="http://schemas.microsoft.com/office/drawing/2015/06/chart">
                  <c:ext xmlns:c16="http://schemas.microsoft.com/office/drawing/2014/chart" uri="{C3380CC4-5D6E-409C-BE32-E72D297353CC}">
                    <c16:uniqueId val="{00000007-F4F6-4519-A50E-0198C2B64643}"/>
                  </c:ext>
                </c:extLst>
              </c15:ser>
            </c15:filteredBarSeries>
          </c:ext>
        </c:extLst>
      </c:barChart>
      <c:catAx>
        <c:axId val="7879313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78793680"/>
        <c:crosses val="autoZero"/>
        <c:auto val="1"/>
        <c:lblAlgn val="ctr"/>
        <c:lblOffset val="100"/>
        <c:noMultiLvlLbl val="0"/>
      </c:catAx>
      <c:valAx>
        <c:axId val="787936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  <c:crossAx val="78793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pt-P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t-PT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ECE-4C4D-9C95-F7EBBAEDA7A4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ECE-4C4D-9C95-F7EBBAEDA7A4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1ECE-4C4D-9C95-F7EBBAEDA7A4}"/>
              </c:ext>
            </c:extLst>
          </c:dPt>
          <c:dPt>
            <c:idx val="3"/>
            <c:bubble3D val="0"/>
            <c:spPr>
              <a:solidFill>
                <a:schemeClr val="accent2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1ECE-4C4D-9C95-F7EBBAEDA7A4}"/>
              </c:ext>
            </c:extLst>
          </c:dPt>
          <c:dPt>
            <c:idx val="4"/>
            <c:bubble3D val="0"/>
            <c:spPr>
              <a:solidFill>
                <a:schemeClr val="accent4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9-1ECE-4C4D-9C95-F7EBBAEDA7A4}"/>
              </c:ext>
            </c:extLst>
          </c:dPt>
          <c:dPt>
            <c:idx val="5"/>
            <c:bubble3D val="0"/>
            <c:spPr>
              <a:solidFill>
                <a:schemeClr val="accent6">
                  <a:lumMod val="6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B-1ECE-4C4D-9C95-F7EBBAEDA7A4}"/>
              </c:ext>
            </c:extLst>
          </c:dPt>
          <c:dPt>
            <c:idx val="6"/>
            <c:bubble3D val="0"/>
            <c:spPr>
              <a:solidFill>
                <a:schemeClr val="accent2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D-1ECE-4C4D-9C95-F7EBBAEDA7A4}"/>
              </c:ext>
            </c:extLst>
          </c:dPt>
          <c:dPt>
            <c:idx val="7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F-1ECE-4C4D-9C95-F7EBBAEDA7A4}"/>
              </c:ext>
            </c:extLst>
          </c:dPt>
          <c:dPt>
            <c:idx val="8"/>
            <c:bubble3D val="0"/>
            <c:spPr>
              <a:solidFill>
                <a:schemeClr val="accent6">
                  <a:lumMod val="80000"/>
                  <a:lumOff val="2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1-1ECE-4C4D-9C95-F7EBBAEDA7A4}"/>
              </c:ext>
            </c:extLst>
          </c:dPt>
          <c:dPt>
            <c:idx val="9"/>
            <c:bubble3D val="0"/>
            <c:spPr>
              <a:solidFill>
                <a:schemeClr val="accent2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3-1ECE-4C4D-9C95-F7EBBAEDA7A4}"/>
              </c:ext>
            </c:extLst>
          </c:dPt>
          <c:dPt>
            <c:idx val="10"/>
            <c:bubble3D val="0"/>
            <c:spPr>
              <a:solidFill>
                <a:schemeClr val="accent4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5-1ECE-4C4D-9C95-F7EBBAEDA7A4}"/>
              </c:ext>
            </c:extLst>
          </c:dPt>
          <c:dPt>
            <c:idx val="11"/>
            <c:bubble3D val="0"/>
            <c:spPr>
              <a:solidFill>
                <a:schemeClr val="accent6">
                  <a:lumMod val="8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7-1ECE-4C4D-9C95-F7EBBAEDA7A4}"/>
              </c:ext>
            </c:extLst>
          </c:dPt>
          <c:dPt>
            <c:idx val="12"/>
            <c:bubble3D val="0"/>
            <c:spPr>
              <a:solidFill>
                <a:schemeClr val="accent2">
                  <a:lumMod val="60000"/>
                  <a:lumOff val="40000"/>
                </a:schemeClr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19-1ECE-4C4D-9C95-F7EBBAEDA7A4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PT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Folha1!$B$74:$B$87</c:f>
              <c:strCache>
                <c:ptCount val="13"/>
                <c:pt idx="0">
                  <c:v>Acção Social</c:v>
                </c:pt>
                <c:pt idx="1">
                  <c:v>Apoiar as Vítimas do Crime de Violência Doméstica</c:v>
                </c:pt>
                <c:pt idx="2">
                  <c:v>Apoio a Crianças e Jovens</c:v>
                </c:pt>
                <c:pt idx="3">
                  <c:v>Apoio a Crianças, Jovens e Idosos</c:v>
                </c:pt>
                <c:pt idx="4">
                  <c:v>Apoio a Idosos</c:v>
                </c:pt>
                <c:pt idx="5">
                  <c:v>Apoio a Pessoas Infectadas e Afectadas pelo VIH</c:v>
                </c:pt>
                <c:pt idx="6">
                  <c:v>Área da saúde mental</c:v>
                </c:pt>
                <c:pt idx="7">
                  <c:v>Assistência a Crianças Desprotegidas</c:v>
                </c:pt>
                <c:pt idx="8">
                  <c:v>Assistência Humanitária e Social</c:v>
                </c:pt>
                <c:pt idx="9">
                  <c:v>Centro de apoio à vida</c:v>
                </c:pt>
                <c:pt idx="10">
                  <c:v>Inclusão Social</c:v>
                </c:pt>
                <c:pt idx="11">
                  <c:v>Projectos de Intervenção Social Intergeracional</c:v>
                </c:pt>
                <c:pt idx="12">
                  <c:v>Promoção e Divulgação do Voluntariado</c:v>
                </c:pt>
              </c:strCache>
            </c:strRef>
          </c:cat>
          <c:val>
            <c:numRef>
              <c:f>Folha1!$C$74:$C$87</c:f>
              <c:numCache>
                <c:formatCode>General</c:formatCode>
                <c:ptCount val="13"/>
                <c:pt idx="0">
                  <c:v>1</c:v>
                </c:pt>
                <c:pt idx="1">
                  <c:v>1</c:v>
                </c:pt>
                <c:pt idx="2">
                  <c:v>5</c:v>
                </c:pt>
                <c:pt idx="3">
                  <c:v>4</c:v>
                </c:pt>
                <c:pt idx="4">
                  <c:v>7</c:v>
                </c:pt>
                <c:pt idx="5">
                  <c:v>1</c:v>
                </c:pt>
                <c:pt idx="6">
                  <c:v>2</c:v>
                </c:pt>
                <c:pt idx="7">
                  <c:v>3</c:v>
                </c:pt>
                <c:pt idx="8">
                  <c:v>1</c:v>
                </c:pt>
                <c:pt idx="9">
                  <c:v>1</c:v>
                </c:pt>
                <c:pt idx="10">
                  <c:v>27</c:v>
                </c:pt>
                <c:pt idx="11">
                  <c:v>1</c:v>
                </c:pt>
                <c:pt idx="12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1A-1ECE-4C4D-9C95-F7EBBAEDA7A4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pt-P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n>
            <a:noFill/>
          </a:ln>
        </a:defRPr>
      </a:pPr>
      <a:endParaRPr lang="pt-PT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12F0-4BC6-9B5E-5785C48AAC69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12F0-4BC6-9B5E-5785C48AAC69}"/>
              </c:ext>
            </c:extLst>
          </c:dPt>
          <c:dLbls>
            <c:dLbl>
              <c:idx val="0"/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lang="pt-PT" sz="1100" b="0" i="0" u="none" strike="noStrike" kern="1200" baseline="0">
                        <a:solidFill>
                          <a:sysClr val="windowText" lastClr="000000">
                            <a:lumMod val="75000"/>
                            <a:lumOff val="25000"/>
                          </a:sysClr>
                        </a:solidFill>
                        <a:latin typeface="Times New Roman" panose="02020603050405020304" pitchFamily="18" charset="0"/>
                        <a:ea typeface="+mn-ea"/>
                        <a:cs typeface="Times New Roman" panose="02020603050405020304" pitchFamily="18" charset="0"/>
                      </a:defRPr>
                    </a:pPr>
                    <a:fld id="{6E7F6F0B-7321-46E2-BA2B-1C682274FD62}" type="PERCENTAGE">
                      <a:rPr lang="en-US" sz="11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 lang="pt-PT" sz="1100">
                          <a:solidFill>
                            <a:sysClr val="windowText" lastClr="000000">
                              <a:lumMod val="75000"/>
                              <a:lumOff val="25000"/>
                            </a:sysClr>
                          </a:solidFill>
                          <a:latin typeface="Times New Roman" panose="02020603050405020304" pitchFamily="18" charset="0"/>
                          <a:cs typeface="Times New Roman" panose="02020603050405020304" pitchFamily="18" charset="0"/>
                        </a:defRPr>
                      </a:pPr>
                      <a:t>[PERCENTAGEM]</a:t>
                    </a:fld>
                    <a:endParaRPr lang="pt-PT"/>
                  </a:p>
                </c:rich>
              </c:tx>
              <c:spPr>
                <a:solidFill>
                  <a:schemeClr val="lt1"/>
                </a:solidFill>
                <a:ln>
                  <a:solidFill>
                    <a:schemeClr val="dk1">
                      <a:lumMod val="25000"/>
                      <a:lumOff val="75000"/>
                    </a:schemeClr>
                  </a:solidFill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lang="pt-PT" sz="1100" b="0" i="0" u="none" strike="noStrike" kern="1200" baseline="0">
                      <a:solidFill>
                        <a:sysClr val="windowText" lastClr="000000">
                          <a:lumMod val="75000"/>
                          <a:lumOff val="25000"/>
                        </a:sys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inEnd"/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12F0-4BC6-9B5E-5785C48AAC69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</c:extLst>
            </c:dLbl>
            <c:dLbl>
              <c:idx val="1"/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100" b="0" i="0" u="none" strike="noStrike" kern="1200" baseline="0">
                        <a:solidFill>
                          <a:schemeClr val="dk1">
                            <a:lumMod val="65000"/>
                            <a:lumOff val="35000"/>
                          </a:schemeClr>
                        </a:solidFill>
                        <a:latin typeface="Times New Roman" panose="02020603050405020304" pitchFamily="18" charset="0"/>
                        <a:ea typeface="+mn-ea"/>
                        <a:cs typeface="Times New Roman" panose="02020603050405020304" pitchFamily="18" charset="0"/>
                      </a:defRPr>
                    </a:pPr>
                    <a:fld id="{AF34CEF9-DA5F-428B-9D12-24E362CB83A9}" type="PERCENTAGE">
                      <a:rPr lang="en-US" sz="11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 sz="1100">
                          <a:latin typeface="Times New Roman" panose="02020603050405020304" pitchFamily="18" charset="0"/>
                          <a:cs typeface="Times New Roman" panose="02020603050405020304" pitchFamily="18" charset="0"/>
                        </a:defRPr>
                      </a:pPr>
                      <a:t>[PERCENTAGEM]</a:t>
                    </a:fld>
                    <a:endParaRPr lang="pt-PT"/>
                  </a:p>
                </c:rich>
              </c:tx>
              <c:spPr>
                <a:solidFill>
                  <a:schemeClr val="lt1"/>
                </a:solidFill>
                <a:ln>
                  <a:solidFill>
                    <a:schemeClr val="dk1">
                      <a:lumMod val="25000"/>
                      <a:lumOff val="75000"/>
                    </a:schemeClr>
                  </a:solidFill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dk1">
                          <a:lumMod val="65000"/>
                          <a:lumOff val="35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inEnd"/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Folha1!$H$64:$H$66</c:f>
              <c:strCache>
                <c:ptCount val="2"/>
                <c:pt idx="0">
                  <c:v>Sim</c:v>
                </c:pt>
                <c:pt idx="1">
                  <c:v>Não</c:v>
                </c:pt>
              </c:strCache>
            </c:strRef>
          </c:cat>
          <c:val>
            <c:numRef>
              <c:f>Folha1!$I$64:$I$66</c:f>
              <c:numCache>
                <c:formatCode>General</c:formatCode>
                <c:ptCount val="2"/>
                <c:pt idx="0">
                  <c:v>31</c:v>
                </c:pt>
                <c:pt idx="1">
                  <c:v>24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12F0-4BC6-9B5E-5785C48AAC69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1166052637915689"/>
          <c:y val="0.32075743750915253"/>
          <c:w val="0.10791133906426835"/>
          <c:h val="0.258342063465242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pt-PT" sz="1100" b="0" i="0" u="none" strike="noStrike" kern="1200" baseline="0">
              <a:solidFill>
                <a:sysClr val="windowText" lastClr="000000">
                  <a:lumMod val="75000"/>
                  <a:lumOff val="2500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pt-P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t-PT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817-4715-A2ED-CB30B9DFAE38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0817-4715-A2ED-CB30B9DFAE38}"/>
              </c:ext>
            </c:extLst>
          </c:dPt>
          <c:dLbls>
            <c:dLbl>
              <c:idx val="0"/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0">
                  <a:spAutoFit/>
                </a:bodyPr>
                <a:lstStyle/>
                <a:p>
                  <a:pPr algn="ctr" rtl="0">
                    <a:defRPr lang="pt-PT" sz="1100" b="0" i="0" u="none" strike="noStrike" kern="1200" baseline="0">
                      <a:solidFill>
                        <a:sysClr val="windowText" lastClr="000000">
                          <a:lumMod val="75000"/>
                          <a:lumOff val="25000"/>
                        </a:sys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inEnd"/>
              <c:showLegendKey val="0"/>
              <c:showVal val="0"/>
              <c:showCatName val="0"/>
              <c:showSerName val="0"/>
              <c:showPercent val="1"/>
              <c:showBubbleSize val="0"/>
            </c:dLbl>
            <c:dLbl>
              <c:idx val="1"/>
              <c:tx>
                <c:rich>
                  <a:bodyPr rot="0" spcFirstLastPara="1" vertOverflow="ellipsis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1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Times New Roman" panose="02020603050405020304" pitchFamily="18" charset="0"/>
                        <a:ea typeface="+mn-ea"/>
                        <a:cs typeface="Times New Roman" panose="02020603050405020304" pitchFamily="18" charset="0"/>
                      </a:defRPr>
                    </a:pPr>
                    <a:fld id="{AF34CEF9-DA5F-428B-9D12-24E362CB83A9}" type="PERCENTAGE">
                      <a:rPr lang="en-US" sz="11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 sz="110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Times New Roman" panose="02020603050405020304" pitchFamily="18" charset="0"/>
                          <a:cs typeface="Times New Roman" panose="02020603050405020304" pitchFamily="18" charset="0"/>
                        </a:defRPr>
                      </a:pPr>
                      <a:t>[PERCENTAGEM]</a:t>
                    </a:fld>
                    <a:endParaRPr lang="pt-PT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inEnd"/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0817-4715-A2ED-CB30B9DFAE38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Folha1!$H$67:$H$69</c:f>
              <c:strCache>
                <c:ptCount val="2"/>
                <c:pt idx="0">
                  <c:v>Sim</c:v>
                </c:pt>
                <c:pt idx="1">
                  <c:v>Não</c:v>
                </c:pt>
              </c:strCache>
            </c:strRef>
          </c:cat>
          <c:val>
            <c:numRef>
              <c:f>Folha1!$I$67:$I$69</c:f>
              <c:numCache>
                <c:formatCode>General</c:formatCode>
                <c:ptCount val="2"/>
                <c:pt idx="0">
                  <c:v>16</c:v>
                </c:pt>
                <c:pt idx="1">
                  <c:v>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0817-4715-A2ED-CB30B9DFAE38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57257973149039809"/>
          <c:y val="0.72020460510618001"/>
          <c:w val="0.20855756339810042"/>
          <c:h val="0.11710836729066454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pt-PT" sz="1100" b="0" i="0" u="none" strike="noStrike" kern="1200" baseline="0">
              <a:solidFill>
                <a:sysClr val="windowText" lastClr="000000">
                  <a:lumMod val="75000"/>
                  <a:lumOff val="2500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pt-P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t-PT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8A14-4821-BCF3-A81541EEE6CB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8A14-4821-BCF3-A81541EEE6CB}"/>
              </c:ext>
            </c:extLst>
          </c:dPt>
          <c:dLbls>
            <c:dLbl>
              <c:idx val="1"/>
              <c:tx>
                <c:rich>
                  <a:bodyPr rot="0" spcFirstLastPara="1" vertOverflow="ellipsis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11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Times New Roman" panose="02020603050405020304" pitchFamily="18" charset="0"/>
                        <a:ea typeface="+mn-ea"/>
                        <a:cs typeface="Times New Roman" panose="02020603050405020304" pitchFamily="18" charset="0"/>
                      </a:defRPr>
                    </a:pPr>
                    <a:fld id="{AF34CEF9-DA5F-428B-9D12-24E362CB83A9}" type="PERCENTAGE">
                      <a:rPr lang="en-US" sz="1100" b="0">
                        <a:latin typeface="Times New Roman" panose="02020603050405020304" pitchFamily="18" charset="0"/>
                        <a:cs typeface="Times New Roman" panose="02020603050405020304" pitchFamily="18" charset="0"/>
                      </a:rPr>
                      <a:pPr>
                        <a:defRPr sz="1100">
                          <a:solidFill>
                            <a:schemeClr val="tx1">
                              <a:lumMod val="75000"/>
                              <a:lumOff val="25000"/>
                            </a:schemeClr>
                          </a:solidFill>
                          <a:latin typeface="Times New Roman" panose="02020603050405020304" pitchFamily="18" charset="0"/>
                          <a:cs typeface="Times New Roman" panose="02020603050405020304" pitchFamily="18" charset="0"/>
                        </a:defRPr>
                      </a:pPr>
                      <a:t>[PERCENTAGEM]</a:t>
                    </a:fld>
                    <a:endParaRPr lang="pt-PT"/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inEnd"/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8A14-4821-BCF3-A81541EEE6CB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rect">
                      <a:avLst/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in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Folha1!$H$74:$H$76</c:f>
              <c:strCache>
                <c:ptCount val="2"/>
                <c:pt idx="0">
                  <c:v>SNC - NCRF SNL</c:v>
                </c:pt>
                <c:pt idx="1">
                  <c:v>Não apresentam</c:v>
                </c:pt>
              </c:strCache>
            </c:strRef>
          </c:cat>
          <c:val>
            <c:numRef>
              <c:f>Folha1!$I$74:$I$76</c:f>
              <c:numCache>
                <c:formatCode>General</c:formatCode>
                <c:ptCount val="2"/>
                <c:pt idx="0">
                  <c:v>16</c:v>
                </c:pt>
                <c:pt idx="1">
                  <c:v>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8A14-4821-BCF3-A81541EEE6CB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lang="pt-PT" sz="1100" b="0" i="0" u="none" strike="noStrike" kern="1200" baseline="0">
                <a:solidFill>
                  <a:sysClr val="windowText" lastClr="000000">
                    <a:lumMod val="75000"/>
                    <a:lumOff val="25000"/>
                  </a:sys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lang="pt-PT" sz="1100" b="0" i="0" u="none" strike="noStrike" kern="1200" baseline="0">
                <a:solidFill>
                  <a:sysClr val="windowText" lastClr="000000">
                    <a:lumMod val="75000"/>
                    <a:lumOff val="25000"/>
                  </a:sys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</c:legendEntry>
      <c:layout>
        <c:manualLayout>
          <c:xMode val="edge"/>
          <c:yMode val="edge"/>
          <c:x val="0.55313969772234861"/>
          <c:y val="0.35318609564048398"/>
          <c:w val="0.27907506737832266"/>
          <c:h val="0.29362780871903205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pt-PT" sz="1600" b="0" i="0" u="none" strike="noStrike" kern="1200" baseline="0">
              <a:solidFill>
                <a:sysClr val="windowText" lastClr="000000">
                  <a:lumMod val="75000"/>
                  <a:lumOff val="2500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pt-P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t-PT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40EA-4FB3-9DD9-C6E5E447F2A0}"/>
              </c:ext>
            </c:extLst>
          </c:dPt>
          <c:dPt>
            <c:idx val="1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40EA-4FB3-9DD9-C6E5E447F2A0}"/>
              </c:ext>
            </c:extLst>
          </c:dPt>
          <c:dPt>
            <c:idx val="2"/>
            <c:bubble3D val="0"/>
            <c:spPr>
              <a:solidFill>
                <a:schemeClr val="accent6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40EA-4FB3-9DD9-C6E5E447F2A0}"/>
              </c:ext>
            </c:extLst>
          </c:dPt>
          <c:dLbls>
            <c:dLbl>
              <c:idx val="0"/>
              <c:spPr>
                <a:solidFill>
                  <a:sysClr val="window" lastClr="FFFFFF"/>
                </a:solidFill>
                <a:ln>
                  <a:solidFill>
                    <a:sysClr val="windowText" lastClr="000000">
                      <a:lumMod val="25000"/>
                      <a:lumOff val="75000"/>
                    </a:sysClr>
                  </a:solidFill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1200" b="0" i="0" u="none" strike="noStrike" kern="1200" baseline="0">
                      <a:solidFill>
                        <a:schemeClr val="dk1">
                          <a:lumMod val="65000"/>
                          <a:lumOff val="35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40EA-4FB3-9DD9-C6E5E447F2A0}"/>
                </c:ext>
                <c:ext xmlns:c15="http://schemas.microsoft.com/office/drawing/2012/chart" uri="{CE6537A1-D6FC-4f65-9D91-7224C49458BB}">
                  <c15:spPr xmlns:c15="http://schemas.microsoft.com/office/drawing/2012/chart">
                    <a:prstGeom prst="wedgeRectCallou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dLbl>
              <c:idx val="1"/>
              <c:spPr>
                <a:solidFill>
                  <a:sysClr val="window" lastClr="FFFFFF"/>
                </a:solidFill>
                <a:ln>
                  <a:solidFill>
                    <a:sysClr val="windowText" lastClr="000000">
                      <a:lumMod val="25000"/>
                      <a:lumOff val="75000"/>
                    </a:sysClr>
                  </a:solidFill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1100" b="0" i="0" u="none" strike="noStrike" kern="1200" baseline="0">
                      <a:solidFill>
                        <a:schemeClr val="dk1">
                          <a:lumMod val="65000"/>
                          <a:lumOff val="35000"/>
                        </a:schemeClr>
                      </a:solidFill>
                      <a:latin typeface="Times New Roman" panose="02020603050405020304" pitchFamily="18" charset="0"/>
                      <a:ea typeface="+mn-ea"/>
                      <a:cs typeface="Times New Roman" panose="02020603050405020304" pitchFamily="18" charset="0"/>
                    </a:defRPr>
                  </a:pPr>
                  <a:endParaRPr lang="pt-PT"/>
                </a:p>
              </c:txPr>
              <c:dLblPos val="outEnd"/>
              <c:showLegendKey val="0"/>
              <c:showVal val="0"/>
              <c:showCatName val="1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RectCallout">
                      <a:avLst/>
                    </a:prstGeom>
                    <a:noFill/>
                    <a:ln>
                      <a:noFill/>
                    </a:ln>
                  </c15:spPr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ysClr val="windowText" lastClr="000000">
                    <a:lumMod val="25000"/>
                    <a:lumOff val="75000"/>
                  </a:sysClr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1200" b="0" i="0" u="none" strike="noStrike" kern="1200" baseline="0">
                    <a:solidFill>
                      <a:schemeClr val="dk1">
                        <a:lumMod val="65000"/>
                        <a:lumOff val="3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0"/>
            <c:showCatName val="1"/>
            <c:showSerName val="0"/>
            <c:showPercent val="1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pPr xmlns:c15="http://schemas.microsoft.com/office/drawing/2012/chart">
                  <a:prstGeom prst="wedgeRectCallout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Folha1!$H$70:$H$73</c:f>
              <c:strCache>
                <c:ptCount val="3"/>
                <c:pt idx="0">
                  <c:v>Relatório de Contas</c:v>
                </c:pt>
                <c:pt idx="1">
                  <c:v>Balancete Geral</c:v>
                </c:pt>
                <c:pt idx="2">
                  <c:v>Não Apresentam</c:v>
                </c:pt>
              </c:strCache>
            </c:strRef>
          </c:cat>
          <c:val>
            <c:numRef>
              <c:f>Folha1!$I$70:$I$73</c:f>
              <c:numCache>
                <c:formatCode>General</c:formatCode>
                <c:ptCount val="3"/>
                <c:pt idx="0">
                  <c:v>15</c:v>
                </c:pt>
                <c:pt idx="1">
                  <c:v>1</c:v>
                </c:pt>
                <c:pt idx="2">
                  <c:v>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40EA-4FB3-9DD9-C6E5E447F2A0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0"/>
        </c:dLbls>
        <c:firstSliceAng val="0"/>
      </c:pieChart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t-PT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1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C5EB-4D29-8EB5-6291399240BD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C5EB-4D29-8EB5-6291399240BD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C5EB-4D29-8EB5-6291399240BD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 w="19050">
                <a:solidFill>
                  <a:schemeClr val="lt1"/>
                </a:solidFill>
              </a:ln>
              <a:effectLst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7-C5EB-4D29-8EB5-6291399240BD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0">
                <a:spAutoFit/>
              </a:bodyPr>
              <a:lstStyle/>
              <a:p>
                <a:pPr algn="ctr"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pt-PT"/>
              </a:p>
            </c:txPr>
            <c:dLblPos val="outEnd"/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Folha1!$H$77:$H$81</c:f>
              <c:strCache>
                <c:ptCount val="4"/>
                <c:pt idx="0">
                  <c:v>5 anos</c:v>
                </c:pt>
                <c:pt idx="1">
                  <c:v>2 anos</c:v>
                </c:pt>
                <c:pt idx="2">
                  <c:v>1 ano</c:v>
                </c:pt>
                <c:pt idx="3">
                  <c:v>Não apresentam</c:v>
                </c:pt>
              </c:strCache>
            </c:strRef>
          </c:cat>
          <c:val>
            <c:numRef>
              <c:f>Folha1!$I$77:$I$81</c:f>
              <c:numCache>
                <c:formatCode>General</c:formatCode>
                <c:ptCount val="4"/>
                <c:pt idx="0">
                  <c:v>1</c:v>
                </c:pt>
                <c:pt idx="1">
                  <c:v>9</c:v>
                </c:pt>
                <c:pt idx="2">
                  <c:v>6</c:v>
                </c:pt>
                <c:pt idx="3">
                  <c:v>39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C5EB-4D29-8EB5-6291399240BD}"/>
            </c:ext>
          </c:extLst>
        </c:ser>
        <c:dLbls>
          <c:dLblPos val="outEnd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lang="pt-PT" sz="1200" b="0" i="0" u="none" strike="noStrike" kern="1200" baseline="0">
                <a:solidFill>
                  <a:sysClr val="windowText" lastClr="000000">
                    <a:lumMod val="75000"/>
                    <a:lumOff val="25000"/>
                  </a:sys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lang="pt-PT" sz="1100" b="0" i="0" u="none" strike="noStrike" kern="1200" baseline="0">
                <a:solidFill>
                  <a:sysClr val="windowText" lastClr="000000">
                    <a:lumMod val="75000"/>
                    <a:lumOff val="25000"/>
                  </a:sys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</c:legendEntry>
      <c:legendEntry>
        <c:idx val="2"/>
        <c:txPr>
          <a:bodyPr rot="0" spcFirstLastPara="1" vertOverflow="ellipsis" vert="horz" wrap="square" anchor="ctr" anchorCtr="1"/>
          <a:lstStyle/>
          <a:p>
            <a:pPr>
              <a:defRPr lang="pt-PT" sz="1100" b="0" i="0" u="none" strike="noStrike" kern="1200" baseline="0">
                <a:solidFill>
                  <a:sysClr val="windowText" lastClr="000000">
                    <a:lumMod val="75000"/>
                    <a:lumOff val="25000"/>
                  </a:sys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</c:legendEntry>
      <c:legendEntry>
        <c:idx val="3"/>
        <c:txPr>
          <a:bodyPr rot="0" spcFirstLastPara="1" vertOverflow="ellipsis" vert="horz" wrap="square" anchor="ctr" anchorCtr="1"/>
          <a:lstStyle/>
          <a:p>
            <a:pPr>
              <a:defRPr lang="pt-PT" sz="1100" b="0" i="0" u="none" strike="noStrike" kern="1200" baseline="0">
                <a:solidFill>
                  <a:sysClr val="windowText" lastClr="000000">
                    <a:lumMod val="75000"/>
                    <a:lumOff val="25000"/>
                  </a:sysClr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pt-PT"/>
          </a:p>
        </c:txPr>
      </c:legendEntry>
      <c:layout>
        <c:manualLayout>
          <c:xMode val="edge"/>
          <c:yMode val="edge"/>
          <c:x val="0.64105031742827023"/>
          <c:y val="4.901480616358359E-3"/>
          <c:w val="0.33758216120420848"/>
          <c:h val="0.9822225571085910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lang="pt-PT" sz="1600" b="0" i="0" u="none" strike="noStrike" kern="1200" baseline="0">
              <a:solidFill>
                <a:sysClr val="windowText" lastClr="000000">
                  <a:lumMod val="75000"/>
                  <a:lumOff val="25000"/>
                </a:sysClr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pt-P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pt-P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22C75-4FD6-4879-A735-876E9DB34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16</Pages>
  <Words>3878</Words>
  <Characters>20942</Characters>
  <Application>Microsoft Office Word</Application>
  <DocSecurity>0</DocSecurity>
  <Lines>174</Lines>
  <Paragraphs>49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Tomásia Inês</dc:creator>
  <cp:lastModifiedBy>Ana Bandeira</cp:lastModifiedBy>
  <cp:revision>5</cp:revision>
  <dcterms:created xsi:type="dcterms:W3CDTF">2017-08-14T16:33:00Z</dcterms:created>
  <dcterms:modified xsi:type="dcterms:W3CDTF">2017-08-14T17:07:00Z</dcterms:modified>
</cp:coreProperties>
</file>