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DF5" w:rsidRPr="00DE068F" w:rsidRDefault="003D1DF5" w:rsidP="003D1DF5">
      <w:pPr>
        <w:pStyle w:val="Cabealho1"/>
        <w:rPr>
          <w:shd w:val="clear" w:color="auto" w:fill="FFFFFF"/>
        </w:rPr>
      </w:pPr>
      <w:bookmarkStart w:id="0" w:name="_Toc402559581"/>
      <w:bookmarkStart w:id="1" w:name="_GoBack"/>
      <w:bookmarkEnd w:id="1"/>
      <w:r w:rsidRPr="00DE068F">
        <w:rPr>
          <w:shd w:val="clear" w:color="auto" w:fill="FFFFFF"/>
        </w:rPr>
        <w:t>O INTÉRPRETE-TR</w:t>
      </w:r>
      <w:r>
        <w:rPr>
          <w:shd w:val="clear" w:color="auto" w:fill="FFFFFF"/>
        </w:rPr>
        <w:t xml:space="preserve">ADUTOR NOS TRIBUNAIS FRANCESES: </w:t>
      </w:r>
      <w:r w:rsidRPr="00DE068F">
        <w:rPr>
          <w:shd w:val="clear" w:color="auto" w:fill="FFFFFF"/>
        </w:rPr>
        <w:t>TRADUÇÃO LITERAL OU DIREITO COMPARADO?</w:t>
      </w:r>
      <w:bookmarkEnd w:id="0"/>
    </w:p>
    <w:p w:rsidR="003D1DF5" w:rsidRPr="004042AB" w:rsidRDefault="003D1DF5" w:rsidP="003D1DF5">
      <w:pPr>
        <w:jc w:val="both"/>
        <w:rPr>
          <w:rFonts w:ascii="Garamond" w:hAnsi="Garamond" w:cs="Times New Roman"/>
          <w:sz w:val="21"/>
          <w:szCs w:val="21"/>
        </w:rPr>
      </w:pPr>
    </w:p>
    <w:p w:rsidR="003D1DF5" w:rsidRPr="00D00EE5" w:rsidRDefault="003D1DF5" w:rsidP="003D1DF5">
      <w:pPr>
        <w:pStyle w:val="Cabealho2"/>
      </w:pPr>
      <w:bookmarkStart w:id="2" w:name="_Toc402559582"/>
      <w:proofErr w:type="spellStart"/>
      <w:r w:rsidRPr="00D00EE5">
        <w:t>Isabelle</w:t>
      </w:r>
      <w:proofErr w:type="spellEnd"/>
      <w:r w:rsidRPr="00D00EE5">
        <w:t xml:space="preserve"> </w:t>
      </w:r>
      <w:proofErr w:type="spellStart"/>
      <w:r w:rsidRPr="00D00EE5">
        <w:t>Tulekian</w:t>
      </w:r>
      <w:bookmarkEnd w:id="2"/>
      <w:proofErr w:type="spellEnd"/>
    </w:p>
    <w:p w:rsidR="003D1DF5" w:rsidRPr="00D00EE5" w:rsidRDefault="003D1DF5" w:rsidP="003D1DF5">
      <w:pPr>
        <w:jc w:val="right"/>
        <w:rPr>
          <w:rFonts w:ascii="Garamond" w:hAnsi="Garamond" w:cs="Times New Roman"/>
          <w:sz w:val="19"/>
          <w:szCs w:val="19"/>
        </w:rPr>
      </w:pPr>
      <w:r w:rsidRPr="00D00EE5">
        <w:rPr>
          <w:rFonts w:ascii="Garamond" w:hAnsi="Garamond" w:cs="Times New Roman"/>
          <w:sz w:val="19"/>
          <w:szCs w:val="19"/>
        </w:rPr>
        <w:t xml:space="preserve"> Instituto Superior de Contabilidade e Administração do Porto</w:t>
      </w:r>
    </w:p>
    <w:p w:rsidR="003D1DF5" w:rsidRPr="00D00EE5" w:rsidRDefault="003D1DF5" w:rsidP="003D1DF5">
      <w:pPr>
        <w:pStyle w:val="Cabealho3"/>
      </w:pPr>
      <w:bookmarkStart w:id="3" w:name="_Toc402559583"/>
      <w:r w:rsidRPr="00D00EE5">
        <w:t>Portugal</w:t>
      </w:r>
      <w:bookmarkEnd w:id="3"/>
    </w:p>
    <w:p w:rsidR="003D1DF5" w:rsidRDefault="001E5F8A" w:rsidP="003D1DF5">
      <w:pPr>
        <w:jc w:val="right"/>
        <w:rPr>
          <w:rFonts w:ascii="Garamond" w:hAnsi="Garamond" w:cs="Times New Roman"/>
          <w:sz w:val="19"/>
          <w:szCs w:val="19"/>
        </w:rPr>
      </w:pPr>
      <w:hyperlink r:id="rId8" w:history="1">
        <w:r w:rsidR="003D1DF5" w:rsidRPr="00250BE9">
          <w:rPr>
            <w:rStyle w:val="Hiperligao"/>
            <w:rFonts w:ascii="Garamond" w:hAnsi="Garamond" w:cs="Times New Roman"/>
            <w:sz w:val="19"/>
            <w:szCs w:val="19"/>
          </w:rPr>
          <w:t>itulekian@iscap.ipp.pt</w:t>
        </w:r>
      </w:hyperlink>
    </w:p>
    <w:p w:rsidR="003D1DF5" w:rsidRDefault="003D1DF5" w:rsidP="003D1DF5">
      <w:pPr>
        <w:jc w:val="both"/>
        <w:rPr>
          <w:rFonts w:ascii="Garamond" w:hAnsi="Garamond" w:cs="Times New Roman"/>
          <w:sz w:val="19"/>
          <w:szCs w:val="19"/>
        </w:rPr>
      </w:pPr>
    </w:p>
    <w:p w:rsidR="003D1DF5" w:rsidRDefault="003D1DF5" w:rsidP="003D1DF5">
      <w:pPr>
        <w:jc w:val="both"/>
        <w:rPr>
          <w:rFonts w:ascii="Garamond" w:hAnsi="Garamond" w:cs="Times New Roman"/>
          <w:sz w:val="19"/>
          <w:szCs w:val="19"/>
        </w:rPr>
      </w:pPr>
    </w:p>
    <w:p w:rsidR="003D1DF5" w:rsidRPr="00D00EE5" w:rsidRDefault="003D1DF5" w:rsidP="003D1DF5">
      <w:pPr>
        <w:jc w:val="both"/>
        <w:rPr>
          <w:rFonts w:ascii="Garamond" w:hAnsi="Garamond" w:cs="Times New Roman"/>
          <w:sz w:val="19"/>
          <w:szCs w:val="19"/>
        </w:rPr>
      </w:pPr>
    </w:p>
    <w:p w:rsidR="003D1DF5" w:rsidRDefault="003D1DF5" w:rsidP="003D1DF5">
      <w:pPr>
        <w:jc w:val="both"/>
        <w:rPr>
          <w:rFonts w:ascii="Garamond" w:hAnsi="Garamond" w:cs="Times New Roman"/>
          <w:b/>
          <w:sz w:val="21"/>
          <w:szCs w:val="21"/>
        </w:rPr>
      </w:pPr>
      <w:r w:rsidRPr="004042AB">
        <w:rPr>
          <w:rFonts w:ascii="Garamond" w:hAnsi="Garamond" w:cs="Times New Roman"/>
          <w:b/>
          <w:sz w:val="21"/>
          <w:szCs w:val="21"/>
        </w:rPr>
        <w:t>Resumo</w:t>
      </w:r>
    </w:p>
    <w:p w:rsidR="003D1DF5" w:rsidRPr="004042AB" w:rsidRDefault="003D1DF5" w:rsidP="003D1DF5">
      <w:pPr>
        <w:jc w:val="both"/>
        <w:rPr>
          <w:rFonts w:ascii="Garamond" w:hAnsi="Garamond" w:cs="Times New Roman"/>
          <w:b/>
          <w:sz w:val="21"/>
          <w:szCs w:val="21"/>
        </w:rPr>
      </w:pP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O artigo foca-se na figura do perito intérprete-tradutor nos tribunais franceses e no papel determinante do juiz na relação entre a língua e o direito, numa altura em que a linguística forense evidencia cada vez mais as implicações múltiplas e complexas existentes entre a tradução jurídica e o direito comparado.</w:t>
      </w:r>
    </w:p>
    <w:p w:rsidR="003D1DF5" w:rsidRDefault="003D1DF5" w:rsidP="003D1DF5">
      <w:pPr>
        <w:jc w:val="both"/>
        <w:rPr>
          <w:rFonts w:ascii="Garamond" w:hAnsi="Garamond" w:cs="Times New Roman"/>
          <w:sz w:val="21"/>
          <w:szCs w:val="21"/>
        </w:rPr>
      </w:pPr>
    </w:p>
    <w:p w:rsidR="003D1DF5" w:rsidRDefault="003D1DF5" w:rsidP="003D1DF5">
      <w:pPr>
        <w:jc w:val="both"/>
        <w:rPr>
          <w:rFonts w:ascii="Garamond" w:hAnsi="Garamond" w:cs="Times New Roman"/>
          <w:b/>
          <w:sz w:val="21"/>
          <w:szCs w:val="21"/>
          <w:lang w:val="en-US"/>
        </w:rPr>
      </w:pPr>
      <w:r w:rsidRPr="004042AB">
        <w:rPr>
          <w:rFonts w:ascii="Garamond" w:hAnsi="Garamond" w:cs="Times New Roman"/>
          <w:b/>
          <w:sz w:val="21"/>
          <w:szCs w:val="21"/>
          <w:lang w:val="en-US"/>
        </w:rPr>
        <w:t>Abstract</w:t>
      </w:r>
    </w:p>
    <w:p w:rsidR="003D1DF5" w:rsidRPr="004042AB" w:rsidRDefault="003D1DF5" w:rsidP="003D1DF5">
      <w:pPr>
        <w:jc w:val="both"/>
        <w:rPr>
          <w:rFonts w:ascii="Garamond" w:hAnsi="Garamond" w:cs="Times New Roman"/>
          <w:b/>
          <w:sz w:val="21"/>
          <w:szCs w:val="21"/>
          <w:lang w:val="en-US"/>
        </w:rPr>
      </w:pPr>
    </w:p>
    <w:p w:rsidR="003D1DF5" w:rsidRPr="004042AB" w:rsidRDefault="003D1DF5" w:rsidP="003D1DF5">
      <w:pPr>
        <w:ind w:firstLine="709"/>
        <w:jc w:val="both"/>
        <w:rPr>
          <w:rFonts w:ascii="Garamond" w:hAnsi="Garamond" w:cs="Times New Roman"/>
          <w:sz w:val="21"/>
          <w:szCs w:val="21"/>
          <w:lang w:val="en-US"/>
        </w:rPr>
      </w:pPr>
      <w:r w:rsidRPr="004042AB">
        <w:rPr>
          <w:rFonts w:ascii="Garamond" w:hAnsi="Garamond" w:cs="Times New Roman"/>
          <w:sz w:val="21"/>
          <w:szCs w:val="21"/>
          <w:lang w:val="en-US"/>
        </w:rPr>
        <w:t>This paper is about the role of the interpreter-translator at court in France and the relevance of the judge regarding the relation between language and law, at a time when forensic linguistic turns more and more obvious the frequent and difficult relations between legal translation and comparative law.</w:t>
      </w:r>
    </w:p>
    <w:p w:rsidR="003D1DF5" w:rsidRPr="004042AB" w:rsidRDefault="003D1DF5" w:rsidP="003D1DF5">
      <w:pPr>
        <w:jc w:val="both"/>
        <w:rPr>
          <w:rFonts w:ascii="Garamond" w:hAnsi="Garamond" w:cs="Times New Roman"/>
          <w:sz w:val="21"/>
          <w:szCs w:val="21"/>
          <w:lang w:val="en-US"/>
        </w:rPr>
      </w:pPr>
    </w:p>
    <w:p w:rsidR="003D1DF5" w:rsidRPr="004042AB" w:rsidRDefault="003D1DF5" w:rsidP="003D1DF5">
      <w:pPr>
        <w:jc w:val="both"/>
        <w:rPr>
          <w:rFonts w:ascii="Garamond" w:hAnsi="Garamond" w:cs="Times New Roman"/>
          <w:sz w:val="21"/>
          <w:szCs w:val="21"/>
        </w:rPr>
      </w:pPr>
      <w:r w:rsidRPr="004042AB">
        <w:rPr>
          <w:rFonts w:ascii="Garamond" w:hAnsi="Garamond" w:cs="Times New Roman"/>
          <w:b/>
          <w:sz w:val="21"/>
          <w:szCs w:val="21"/>
        </w:rPr>
        <w:t>Palavras-chave</w:t>
      </w:r>
      <w:r w:rsidRPr="004042AB">
        <w:rPr>
          <w:rFonts w:ascii="Garamond" w:hAnsi="Garamond" w:cs="Times New Roman"/>
          <w:sz w:val="21"/>
          <w:szCs w:val="21"/>
        </w:rPr>
        <w:t>: intérprete-tradutor; tribunais; juiz; direito comparado.</w:t>
      </w:r>
    </w:p>
    <w:p w:rsidR="003D1DF5" w:rsidRPr="004042AB" w:rsidRDefault="003D1DF5" w:rsidP="003D1DF5">
      <w:pPr>
        <w:jc w:val="both"/>
        <w:rPr>
          <w:rFonts w:ascii="Garamond" w:hAnsi="Garamond" w:cs="Times New Roman"/>
          <w:sz w:val="21"/>
          <w:szCs w:val="21"/>
        </w:rPr>
      </w:pPr>
    </w:p>
    <w:p w:rsidR="003D1DF5" w:rsidRPr="004042AB" w:rsidRDefault="003D1DF5" w:rsidP="003D1DF5">
      <w:pPr>
        <w:jc w:val="both"/>
        <w:rPr>
          <w:rFonts w:ascii="Garamond" w:hAnsi="Garamond" w:cs="Times New Roman"/>
          <w:sz w:val="21"/>
          <w:szCs w:val="21"/>
          <w:lang w:val="en-US"/>
        </w:rPr>
      </w:pPr>
      <w:r w:rsidRPr="004042AB">
        <w:rPr>
          <w:rFonts w:ascii="Garamond" w:hAnsi="Garamond" w:cs="Times New Roman"/>
          <w:b/>
          <w:sz w:val="21"/>
          <w:szCs w:val="21"/>
          <w:lang w:val="en-US"/>
        </w:rPr>
        <w:t>Keywords</w:t>
      </w:r>
      <w:r w:rsidRPr="004042AB">
        <w:rPr>
          <w:rFonts w:ascii="Garamond" w:hAnsi="Garamond" w:cs="Times New Roman"/>
          <w:sz w:val="21"/>
          <w:szCs w:val="21"/>
          <w:lang w:val="en-US"/>
        </w:rPr>
        <w:t>: interpreter-translator; court; judge; comparative law.</w:t>
      </w:r>
    </w:p>
    <w:p w:rsidR="003D1DF5" w:rsidRPr="004042AB" w:rsidRDefault="003D1DF5" w:rsidP="003D1DF5">
      <w:pPr>
        <w:jc w:val="both"/>
        <w:rPr>
          <w:rFonts w:ascii="Garamond" w:hAnsi="Garamond" w:cs="Times New Roman"/>
          <w:sz w:val="21"/>
          <w:szCs w:val="21"/>
          <w:lang w:val="en-US"/>
        </w:rPr>
      </w:pPr>
    </w:p>
    <w:p w:rsidR="003D1DF5" w:rsidRPr="004042AB" w:rsidRDefault="003D1DF5" w:rsidP="003D1DF5">
      <w:pPr>
        <w:pStyle w:val="PargrafodaLista"/>
        <w:ind w:left="1724"/>
        <w:rPr>
          <w:rFonts w:ascii="Garamond" w:hAnsi="Garamond"/>
          <w:i/>
          <w:sz w:val="21"/>
          <w:szCs w:val="21"/>
        </w:rPr>
      </w:pP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Apesar de orientações recentes na tradução jurídica que evidenciam a complementaridade das áreas do direito e da linguística na elaboração da tradução na área jurídica, e o consequente desenvolvimento da linguística forense, estamos perante uma realidade bastante surpreendente no contexto dos tribunais em França. De facto, o tradutor jurídico surge junto dos tribunais franceses como </w:t>
      </w:r>
      <w:r w:rsidRPr="004042AB">
        <w:rPr>
          <w:rFonts w:ascii="Garamond" w:hAnsi="Garamond" w:cs="Times New Roman"/>
          <w:i/>
          <w:sz w:val="21"/>
          <w:szCs w:val="21"/>
        </w:rPr>
        <w:t xml:space="preserve">expert </w:t>
      </w:r>
      <w:proofErr w:type="spellStart"/>
      <w:r w:rsidRPr="004042AB">
        <w:rPr>
          <w:rFonts w:ascii="Garamond" w:hAnsi="Garamond" w:cs="Times New Roman"/>
          <w:i/>
          <w:sz w:val="21"/>
          <w:szCs w:val="21"/>
        </w:rPr>
        <w:t>judiciaire</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interprète</w:t>
      </w:r>
      <w:r w:rsidRPr="004042AB">
        <w:rPr>
          <w:rFonts w:ascii="Garamond" w:hAnsi="Garamond" w:cs="Times New Roman"/>
          <w:sz w:val="21"/>
          <w:szCs w:val="21"/>
        </w:rPr>
        <w:t>-</w:t>
      </w:r>
      <w:r w:rsidRPr="004042AB">
        <w:rPr>
          <w:rFonts w:ascii="Garamond" w:hAnsi="Garamond" w:cs="Times New Roman"/>
          <w:i/>
          <w:sz w:val="21"/>
          <w:szCs w:val="21"/>
        </w:rPr>
        <w:t>traducteur</w:t>
      </w:r>
      <w:proofErr w:type="spellEnd"/>
      <w:r w:rsidRPr="004042AB">
        <w:rPr>
          <w:rFonts w:ascii="Garamond" w:hAnsi="Garamond" w:cs="Times New Roman"/>
          <w:sz w:val="21"/>
          <w:szCs w:val="21"/>
        </w:rPr>
        <w:t xml:space="preserve">, figura que se assemelha à figura do perito-avaliador noutras áreas em Portugal. Assim sendo, magistrados, juízes, advogados, ou quaisquer outros agentes judiciais recorrem a peritagem sempre que necessitam do auxílio de uma pessoa com competências específicas para o esclarecimento de um ponto preciso, técnico, numa língua estrangeira envolvida num caso que lhes cabe decidir. </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As listas de peritos junto dos tribunais (</w:t>
      </w:r>
      <w:proofErr w:type="spellStart"/>
      <w:r w:rsidRPr="004042AB">
        <w:rPr>
          <w:rFonts w:ascii="Garamond" w:hAnsi="Garamond" w:cs="Times New Roman"/>
          <w:i/>
          <w:sz w:val="21"/>
          <w:szCs w:val="21"/>
        </w:rPr>
        <w:t>cours</w:t>
      </w:r>
      <w:proofErr w:type="spellEnd"/>
      <w:r w:rsidRPr="004042AB">
        <w:rPr>
          <w:rFonts w:ascii="Garamond" w:hAnsi="Garamond" w:cs="Times New Roman"/>
          <w:i/>
          <w:sz w:val="21"/>
          <w:szCs w:val="21"/>
        </w:rPr>
        <w:t xml:space="preserve"> d’</w:t>
      </w:r>
      <w:proofErr w:type="spellStart"/>
      <w:r w:rsidRPr="004042AB">
        <w:rPr>
          <w:rFonts w:ascii="Garamond" w:hAnsi="Garamond" w:cs="Times New Roman"/>
          <w:i/>
          <w:sz w:val="21"/>
          <w:szCs w:val="21"/>
        </w:rPr>
        <w:t>appel</w:t>
      </w:r>
      <w:proofErr w:type="spellEnd"/>
      <w:r w:rsidRPr="004042AB">
        <w:rPr>
          <w:rFonts w:ascii="Garamond" w:hAnsi="Garamond" w:cs="Times New Roman"/>
          <w:sz w:val="21"/>
          <w:szCs w:val="21"/>
        </w:rPr>
        <w:t xml:space="preserve">, tribunal de recurso, e </w:t>
      </w:r>
      <w:proofErr w:type="spellStart"/>
      <w:r w:rsidRPr="004042AB">
        <w:rPr>
          <w:rFonts w:ascii="Garamond" w:hAnsi="Garamond" w:cs="Times New Roman"/>
          <w:i/>
          <w:sz w:val="21"/>
          <w:szCs w:val="21"/>
        </w:rPr>
        <w:t>Cour</w:t>
      </w:r>
      <w:proofErr w:type="spellEnd"/>
      <w:r w:rsidRPr="004042AB">
        <w:rPr>
          <w:rFonts w:ascii="Garamond" w:hAnsi="Garamond" w:cs="Times New Roman"/>
          <w:i/>
          <w:sz w:val="21"/>
          <w:szCs w:val="21"/>
        </w:rPr>
        <w:t xml:space="preserve"> de </w:t>
      </w:r>
      <w:proofErr w:type="spellStart"/>
      <w:r w:rsidRPr="004042AB">
        <w:rPr>
          <w:rFonts w:ascii="Garamond" w:hAnsi="Garamond" w:cs="Times New Roman"/>
          <w:i/>
          <w:sz w:val="21"/>
          <w:szCs w:val="21"/>
        </w:rPr>
        <w:t>cassation</w:t>
      </w:r>
      <w:proofErr w:type="spellEnd"/>
      <w:r w:rsidRPr="004042AB">
        <w:rPr>
          <w:rFonts w:ascii="Garamond" w:hAnsi="Garamond" w:cs="Times New Roman"/>
          <w:sz w:val="21"/>
          <w:szCs w:val="21"/>
        </w:rPr>
        <w:t xml:space="preserve">, jurisdição superior da ordem judicial francesa) agrupam os peritos em oito áreas distintas: agricultura, construção civil e obras públicas, indústria, arte, economia e finanças, saúde, medicina legal, interpretação e, ou, tradução. Para o efeito, os candidatos submetem um pedido de inscrição numa lista junto do tribunal da sua área de residência. O intérprete-tradutor deve comprovar a sua competência através de um diploma ou experiência adquiridos na tradução e, ou, na interpretação. Eventualmente, é levado a cabo um inquérito para confirmar a boa reputação do candidato, tanto ao nível profissional como pessoal. No caso do </w:t>
      </w:r>
      <w:r w:rsidRPr="004042AB">
        <w:rPr>
          <w:rFonts w:ascii="Garamond" w:hAnsi="Garamond" w:cs="Times New Roman"/>
          <w:i/>
          <w:sz w:val="21"/>
          <w:szCs w:val="21"/>
        </w:rPr>
        <w:t xml:space="preserve">expert </w:t>
      </w:r>
      <w:proofErr w:type="spellStart"/>
      <w:r w:rsidRPr="004042AB">
        <w:rPr>
          <w:rFonts w:ascii="Garamond" w:hAnsi="Garamond" w:cs="Times New Roman"/>
          <w:i/>
          <w:sz w:val="21"/>
          <w:szCs w:val="21"/>
        </w:rPr>
        <w:t>interprète-traducteur</w:t>
      </w:r>
      <w:proofErr w:type="spellEnd"/>
      <w:r w:rsidRPr="004042AB">
        <w:rPr>
          <w:rFonts w:ascii="Garamond" w:hAnsi="Garamond" w:cs="Times New Roman"/>
          <w:i/>
          <w:sz w:val="21"/>
          <w:szCs w:val="21"/>
        </w:rPr>
        <w:t xml:space="preserve">, </w:t>
      </w:r>
      <w:r w:rsidRPr="004042AB">
        <w:rPr>
          <w:rFonts w:ascii="Garamond" w:hAnsi="Garamond" w:cs="Times New Roman"/>
          <w:sz w:val="21"/>
          <w:szCs w:val="21"/>
        </w:rPr>
        <w:t>qualquer pessoa que domina uma língua estrangeira pode candidatar-se, facto aliás que já foi várias vezes objecto de crítica, por se considerar que, sendo um critério necessário, não é, muitas vezes, um critério suficiente.</w:t>
      </w:r>
    </w:p>
    <w:p w:rsidR="003D1DF5" w:rsidRDefault="003D1DF5" w:rsidP="003D1DF5">
      <w:pPr>
        <w:ind w:firstLine="709"/>
        <w:jc w:val="both"/>
        <w:rPr>
          <w:rFonts w:ascii="Garamond" w:hAnsi="Garamond" w:cs="Times New Roman"/>
          <w:i/>
          <w:sz w:val="21"/>
          <w:szCs w:val="21"/>
        </w:rPr>
        <w:sectPr w:rsidR="003D1DF5" w:rsidSect="003D1DF5">
          <w:headerReference w:type="even" r:id="rId9"/>
          <w:headerReference w:type="default" r:id="rId10"/>
          <w:footnotePr>
            <w:numRestart w:val="eachSect"/>
          </w:footnotePr>
          <w:pgSz w:w="9639" w:h="13608" w:code="13"/>
          <w:pgMar w:top="1304" w:right="1021" w:bottom="1304" w:left="1247" w:header="709" w:footer="709" w:gutter="0"/>
          <w:cols w:space="708"/>
          <w:docGrid w:linePitch="360"/>
        </w:sectPr>
      </w:pPr>
      <w:r w:rsidRPr="004042AB">
        <w:rPr>
          <w:rFonts w:ascii="Garamond" w:hAnsi="Garamond" w:cs="Times New Roman"/>
          <w:sz w:val="21"/>
          <w:szCs w:val="21"/>
        </w:rPr>
        <w:t xml:space="preserve">As funções específicas do intérprete-tradutor estão enunciadas num despacho de Novembro de 1945 </w:t>
      </w:r>
      <w:r w:rsidRPr="004042AB">
        <w:rPr>
          <w:rFonts w:ascii="Garamond" w:hAnsi="Garamond" w:cs="Times New Roman"/>
          <w:sz w:val="21"/>
          <w:szCs w:val="21"/>
        </w:rPr>
        <w:fldChar w:fldCharType="begin"/>
      </w:r>
      <w:r w:rsidRPr="004042AB">
        <w:rPr>
          <w:rFonts w:ascii="Garamond" w:hAnsi="Garamond" w:cs="Times New Roman"/>
          <w:sz w:val="21"/>
          <w:szCs w:val="21"/>
        </w:rPr>
        <w:instrText xml:space="preserve"> ADDIN EN.CITE &lt;EndNote&gt;&lt;Cite&gt;&lt;Year&gt;1945&lt;/Year&gt;&lt;RecNum&gt;202&lt;/RecNum&gt;&lt;DisplayText&gt;(1945)&lt;/DisplayText&gt;&lt;record&gt;&lt;rec-number&gt;202&lt;/rec-number&gt;&lt;foreign-keys&gt;&lt;key app="EN" db-id="p5s5999xos95zvew2zpp5d0hfv0svxpede0e"&gt;202&lt;/key&gt;&lt;/foreign-keys&gt;&lt;ref-type name="Legal Rule or Regulation"&gt;50&lt;/ref-type&gt;&lt;contributors&gt;&lt;/contributors&gt;&lt;titles&gt;&lt;title&gt;Ordonnance n°45-2658 du 2 novembre 1945 RELATIVE A L&amp;apos;ENTREE ET AU SEJOUR DES ETRANGERS EN FRANCE ET PORTANT CREATION DE L&amp;apos;OFFICE NATIONAL D&amp;apos;IMMIGRATION&lt;/title&gt;&lt;/titles&gt;&lt;dates&gt;&lt;year&gt;1945&lt;/year&gt;&lt;/dates&gt;&lt;urls&gt;&lt;related-urls&gt;&lt;url&gt;http://www.legifrance.gouv.fr/affichTexte.do?cidTexte=JORFTEXT000000699737&amp;amp;dateTexte=20050228&lt;/url&gt;&lt;/related-urls&gt;&lt;/urls&gt;&lt;access-date&gt;26/09/2013&lt;/access-date&gt;&lt;/record&gt;&lt;/Cite&gt;&lt;/EndNote&gt;</w:instrText>
      </w:r>
      <w:r w:rsidRPr="004042AB">
        <w:rPr>
          <w:rFonts w:ascii="Garamond" w:hAnsi="Garamond" w:cs="Times New Roman"/>
          <w:sz w:val="21"/>
          <w:szCs w:val="21"/>
        </w:rPr>
        <w:fldChar w:fldCharType="separate"/>
      </w:r>
      <w:r w:rsidRPr="004042AB">
        <w:rPr>
          <w:rFonts w:ascii="Garamond" w:hAnsi="Garamond" w:cs="Times New Roman"/>
          <w:noProof/>
          <w:sz w:val="21"/>
          <w:szCs w:val="21"/>
        </w:rPr>
        <w:t>(</w:t>
      </w:r>
      <w:hyperlink w:anchor="_ENREF_1" w:tooltip=", 1945 #202" w:history="1">
        <w:r w:rsidRPr="004042AB">
          <w:rPr>
            <w:rFonts w:ascii="Garamond" w:hAnsi="Garamond" w:cs="Times New Roman"/>
            <w:noProof/>
            <w:sz w:val="21"/>
            <w:szCs w:val="21"/>
          </w:rPr>
          <w:t>1945</w:t>
        </w:r>
      </w:hyperlink>
      <w:r w:rsidRPr="004042AB">
        <w:rPr>
          <w:rFonts w:ascii="Garamond" w:hAnsi="Garamond" w:cs="Times New Roman"/>
          <w:noProof/>
          <w:sz w:val="21"/>
          <w:szCs w:val="21"/>
        </w:rPr>
        <w:t>)</w:t>
      </w:r>
      <w:r w:rsidRPr="004042AB">
        <w:rPr>
          <w:rFonts w:ascii="Garamond" w:hAnsi="Garamond" w:cs="Times New Roman"/>
          <w:sz w:val="21"/>
          <w:szCs w:val="21"/>
        </w:rPr>
        <w:fldChar w:fldCharType="end"/>
      </w:r>
      <w:r w:rsidRPr="004042AB">
        <w:rPr>
          <w:rFonts w:ascii="Garamond" w:hAnsi="Garamond" w:cs="Times New Roman"/>
          <w:sz w:val="21"/>
          <w:szCs w:val="21"/>
        </w:rPr>
        <w:t xml:space="preserve">, legislação criada na altura para regular a entrada e estada de estrangeiros em França e que, pela primeira vez, introduz a figura do intérprete-tradutor. O decreto-lei nº 2005-214, 3 de Março de 2005 </w:t>
      </w:r>
      <w:r w:rsidRPr="004042AB">
        <w:rPr>
          <w:rFonts w:ascii="Garamond" w:hAnsi="Garamond" w:cs="Times New Roman"/>
          <w:sz w:val="21"/>
          <w:szCs w:val="21"/>
        </w:rPr>
        <w:fldChar w:fldCharType="begin"/>
      </w:r>
      <w:r w:rsidRPr="004042AB">
        <w:rPr>
          <w:rFonts w:ascii="Garamond" w:hAnsi="Garamond" w:cs="Times New Roman"/>
          <w:sz w:val="21"/>
          <w:szCs w:val="21"/>
        </w:rPr>
        <w:instrText xml:space="preserve"> ADDIN EN.CITE &lt;EndNote&gt;&lt;Cite&gt;&lt;Year&gt;2005&lt;/Year&gt;&lt;RecNum&gt;201&lt;/RecNum&gt;&lt;DisplayText&gt;(2005)&lt;/DisplayText&gt;&lt;record&gt;&lt;rec-number&gt;201&lt;/rec-number&gt;&lt;foreign-keys&gt;&lt;key app="EN" db-id="p5s5999xos95zvew2zpp5d0hfv0svxpede0e"&gt;201&lt;/key&gt;&lt;/foreign-keys&gt;&lt;ref-type name="Legal Rule or Regulation"&gt;50&lt;/ref-type&gt;&lt;contributors&gt;&lt;/contributors&gt;&lt;titles&gt;&lt;title&gt;Décret n°2005-214 du 3 mars 2005 - Article 2&lt;/title&gt;&lt;/titles&gt;&lt;dates&gt;&lt;year&gt;2005&lt;/year&gt;&lt;/dates&gt;&lt;urls&gt;&lt;related-urls&gt;&lt;url&gt;http://www.legifrance.gouv.fr/affichTexteArticle.do;jsessionid=E2D3DCB7F4149FEBF4D5CF140C036048.tpdjo02v_3?idArticle=LEGIARTI000006239346&amp;amp;cidTexte=LEGITEXT000006051386&amp;amp;dateTexte=20061114&lt;/url&gt;&lt;/related-urls&gt;&lt;/urls&gt;&lt;access-date&gt;26/09/2013&lt;/access-date&gt;&lt;/record&gt;&lt;/Cite&gt;&lt;/EndNote&gt;</w:instrText>
      </w:r>
      <w:r w:rsidRPr="004042AB">
        <w:rPr>
          <w:rFonts w:ascii="Garamond" w:hAnsi="Garamond" w:cs="Times New Roman"/>
          <w:sz w:val="21"/>
          <w:szCs w:val="21"/>
        </w:rPr>
        <w:fldChar w:fldCharType="separate"/>
      </w:r>
      <w:r w:rsidRPr="004042AB">
        <w:rPr>
          <w:rFonts w:ascii="Garamond" w:hAnsi="Garamond" w:cs="Times New Roman"/>
          <w:noProof/>
          <w:sz w:val="21"/>
          <w:szCs w:val="21"/>
        </w:rPr>
        <w:t>(</w:t>
      </w:r>
      <w:hyperlink w:anchor="_ENREF_6" w:tooltip=", 2005 #201" w:history="1">
        <w:r w:rsidRPr="004042AB">
          <w:rPr>
            <w:rFonts w:ascii="Garamond" w:hAnsi="Garamond" w:cs="Times New Roman"/>
            <w:noProof/>
            <w:sz w:val="21"/>
            <w:szCs w:val="21"/>
          </w:rPr>
          <w:t>2005</w:t>
        </w:r>
      </w:hyperlink>
      <w:r w:rsidRPr="004042AB">
        <w:rPr>
          <w:rFonts w:ascii="Garamond" w:hAnsi="Garamond" w:cs="Times New Roman"/>
          <w:noProof/>
          <w:sz w:val="21"/>
          <w:szCs w:val="21"/>
        </w:rPr>
        <w:t>)</w:t>
      </w:r>
      <w:r w:rsidRPr="004042AB">
        <w:rPr>
          <w:rFonts w:ascii="Garamond" w:hAnsi="Garamond" w:cs="Times New Roman"/>
          <w:sz w:val="21"/>
          <w:szCs w:val="21"/>
        </w:rPr>
        <w:fldChar w:fldCharType="end"/>
      </w:r>
      <w:r w:rsidRPr="004042AB">
        <w:rPr>
          <w:rFonts w:ascii="Garamond" w:hAnsi="Garamond" w:cs="Times New Roman"/>
          <w:sz w:val="21"/>
          <w:szCs w:val="21"/>
        </w:rPr>
        <w:t xml:space="preserve"> confirma e completa a legislação. O intérprete-tradutor tem que prestar juramento nestes termos: “</w:t>
      </w:r>
      <w:proofErr w:type="spellStart"/>
      <w:r w:rsidRPr="004042AB">
        <w:rPr>
          <w:rFonts w:ascii="Garamond" w:hAnsi="Garamond" w:cs="Times New Roman"/>
          <w:i/>
          <w:sz w:val="21"/>
          <w:szCs w:val="21"/>
        </w:rPr>
        <w:t>Je</w:t>
      </w:r>
      <w:proofErr w:type="spellEnd"/>
      <w:r w:rsidRPr="004042AB">
        <w:rPr>
          <w:rFonts w:ascii="Garamond" w:hAnsi="Garamond" w:cs="Times New Roman"/>
          <w:i/>
          <w:sz w:val="21"/>
          <w:szCs w:val="21"/>
        </w:rPr>
        <w:t xml:space="preserve"> jure d’exercer ma </w:t>
      </w:r>
      <w:proofErr w:type="spellStart"/>
      <w:r w:rsidRPr="004042AB">
        <w:rPr>
          <w:rFonts w:ascii="Garamond" w:hAnsi="Garamond" w:cs="Times New Roman"/>
          <w:i/>
          <w:sz w:val="21"/>
          <w:szCs w:val="21"/>
        </w:rPr>
        <w:t>mission</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en</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mon</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honneur</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et</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conscience</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et</w:t>
      </w:r>
      <w:proofErr w:type="spellEnd"/>
      <w:r w:rsidRPr="004042AB">
        <w:rPr>
          <w:rFonts w:ascii="Garamond" w:hAnsi="Garamond" w:cs="Times New Roman"/>
          <w:i/>
          <w:sz w:val="21"/>
          <w:szCs w:val="21"/>
        </w:rPr>
        <w:t xml:space="preserve"> de </w:t>
      </w:r>
      <w:proofErr w:type="spellStart"/>
      <w:r w:rsidRPr="004042AB">
        <w:rPr>
          <w:rFonts w:ascii="Garamond" w:hAnsi="Garamond" w:cs="Times New Roman"/>
          <w:i/>
          <w:sz w:val="21"/>
          <w:szCs w:val="21"/>
        </w:rPr>
        <w:t>ne</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rien</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révéler</w:t>
      </w:r>
      <w:proofErr w:type="spellEnd"/>
      <w:r w:rsidRPr="004042AB">
        <w:rPr>
          <w:rFonts w:ascii="Garamond" w:hAnsi="Garamond" w:cs="Times New Roman"/>
          <w:i/>
          <w:sz w:val="21"/>
          <w:szCs w:val="21"/>
        </w:rPr>
        <w:t xml:space="preserve"> ou </w:t>
      </w:r>
      <w:proofErr w:type="spellStart"/>
      <w:r w:rsidRPr="004042AB">
        <w:rPr>
          <w:rFonts w:ascii="Garamond" w:hAnsi="Garamond" w:cs="Times New Roman"/>
          <w:i/>
          <w:sz w:val="21"/>
          <w:szCs w:val="21"/>
        </w:rPr>
        <w:t>utiliser</w:t>
      </w:r>
      <w:proofErr w:type="spellEnd"/>
      <w:r w:rsidRPr="004042AB">
        <w:rPr>
          <w:rFonts w:ascii="Garamond" w:hAnsi="Garamond" w:cs="Times New Roman"/>
          <w:i/>
          <w:sz w:val="21"/>
          <w:szCs w:val="21"/>
        </w:rPr>
        <w:t xml:space="preserve"> de </w:t>
      </w:r>
      <w:proofErr w:type="spellStart"/>
      <w:r w:rsidRPr="004042AB">
        <w:rPr>
          <w:rFonts w:ascii="Garamond" w:hAnsi="Garamond" w:cs="Times New Roman"/>
          <w:i/>
          <w:sz w:val="21"/>
          <w:szCs w:val="21"/>
        </w:rPr>
        <w:t>ce</w:t>
      </w:r>
      <w:proofErr w:type="spellEnd"/>
      <w:r w:rsidRPr="004042AB">
        <w:rPr>
          <w:rFonts w:ascii="Garamond" w:hAnsi="Garamond" w:cs="Times New Roman"/>
          <w:i/>
          <w:sz w:val="21"/>
          <w:szCs w:val="21"/>
        </w:rPr>
        <w:t xml:space="preserve"> qui </w:t>
      </w:r>
      <w:proofErr w:type="spellStart"/>
      <w:r w:rsidRPr="004042AB">
        <w:rPr>
          <w:rFonts w:ascii="Garamond" w:hAnsi="Garamond" w:cs="Times New Roman"/>
          <w:i/>
          <w:sz w:val="21"/>
          <w:szCs w:val="21"/>
        </w:rPr>
        <w:t>sera</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porté</w:t>
      </w:r>
      <w:proofErr w:type="spellEnd"/>
      <w:r w:rsidRPr="004042AB">
        <w:rPr>
          <w:rFonts w:ascii="Garamond" w:hAnsi="Garamond" w:cs="Times New Roman"/>
          <w:i/>
          <w:sz w:val="21"/>
          <w:szCs w:val="21"/>
        </w:rPr>
        <w:t xml:space="preserve"> à ma </w:t>
      </w:r>
      <w:proofErr w:type="spellStart"/>
      <w:r w:rsidRPr="004042AB">
        <w:rPr>
          <w:rFonts w:ascii="Garamond" w:hAnsi="Garamond" w:cs="Times New Roman"/>
          <w:i/>
          <w:sz w:val="21"/>
          <w:szCs w:val="21"/>
        </w:rPr>
        <w:t>connaissance</w:t>
      </w:r>
      <w:proofErr w:type="spellEnd"/>
      <w:r w:rsidRPr="004042AB">
        <w:rPr>
          <w:rFonts w:ascii="Garamond" w:hAnsi="Garamond" w:cs="Times New Roman"/>
          <w:i/>
          <w:sz w:val="21"/>
          <w:szCs w:val="21"/>
        </w:rPr>
        <w:t xml:space="preserve"> à </w:t>
      </w:r>
      <w:proofErr w:type="spellStart"/>
      <w:r w:rsidRPr="004042AB">
        <w:rPr>
          <w:rFonts w:ascii="Garamond" w:hAnsi="Garamond" w:cs="Times New Roman"/>
          <w:i/>
          <w:sz w:val="21"/>
          <w:szCs w:val="21"/>
        </w:rPr>
        <w:t>cette</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occasion</w:t>
      </w:r>
      <w:proofErr w:type="spellEnd"/>
      <w:r w:rsidRPr="004042AB">
        <w:rPr>
          <w:rFonts w:ascii="Garamond" w:hAnsi="Garamond" w:cs="Times New Roman"/>
          <w:i/>
          <w:sz w:val="21"/>
          <w:szCs w:val="21"/>
        </w:rPr>
        <w:t>”.</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lastRenderedPageBreak/>
        <w:t>Como é possível verificar, o intérprete-tradutor assume, através daquele juramento, um compromisso fundamental de confidencialidade, bem compreensível atentas as funções que irá desempenhar.</w:t>
      </w:r>
    </w:p>
    <w:p w:rsidR="003D1DF5"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Os deveres do intérprete-tradutor são mencionados no Art.º 434-18 do código de processo penal </w:t>
      </w:r>
      <w:r w:rsidRPr="004042AB">
        <w:rPr>
          <w:rFonts w:ascii="Garamond" w:hAnsi="Garamond" w:cs="Times New Roman"/>
          <w:sz w:val="21"/>
          <w:szCs w:val="21"/>
        </w:rPr>
        <w:fldChar w:fldCharType="begin"/>
      </w:r>
      <w:r w:rsidRPr="004042AB">
        <w:rPr>
          <w:rFonts w:ascii="Garamond" w:hAnsi="Garamond" w:cs="Times New Roman"/>
          <w:sz w:val="21"/>
          <w:szCs w:val="21"/>
        </w:rPr>
        <w:instrText xml:space="preserve"> ADDIN EN.CITE &lt;EndNote&gt;&lt;Cite&gt;&lt;Year&gt;1994&lt;/Year&gt;&lt;RecNum&gt;203&lt;/RecNum&gt;&lt;DisplayText&gt;(1994)&lt;/DisplayText&gt;&lt;record&gt;&lt;rec-number&gt;203&lt;/rec-number&gt;&lt;foreign-keys&gt;&lt;key app="EN" db-id="p5s5999xos95zvew2zpp5d0hfv0svxpede0e"&gt;203&lt;/key&gt;&lt;/foreign-keys&gt;&lt;ref-type name="Legal Rule or Regulation"&gt;50&lt;/ref-type&gt;&lt;contributors&gt;&lt;/contributors&gt;&lt;titles&gt;&lt;title&gt;Code  Pénal: Section 2 : Des entraves à l&amp;apos;exercice de la justice.&lt;/title&gt;&lt;/titles&gt;&lt;dates&gt;&lt;year&gt;1994&lt;/year&gt;&lt;/dates&gt;&lt;urls&gt;&lt;related-urls&gt;&lt;url&gt;http://legifrance.gouv.fr/affichCode.do?idSectionTA=LEGISCTA000006165379&amp;amp;cidTexte=LEGITEXT000006070719&amp;amp;dateTexte=20011231&lt;/url&gt;&lt;/related-urls&gt;&lt;/urls&gt;&lt;access-date&gt;26/09/2013&lt;/access-date&gt;&lt;/record&gt;&lt;/Cite&gt;&lt;/EndNote&gt;</w:instrText>
      </w:r>
      <w:r w:rsidRPr="004042AB">
        <w:rPr>
          <w:rFonts w:ascii="Garamond" w:hAnsi="Garamond" w:cs="Times New Roman"/>
          <w:sz w:val="21"/>
          <w:szCs w:val="21"/>
        </w:rPr>
        <w:fldChar w:fldCharType="separate"/>
      </w:r>
      <w:r w:rsidRPr="004042AB">
        <w:rPr>
          <w:rFonts w:ascii="Garamond" w:hAnsi="Garamond" w:cs="Times New Roman"/>
          <w:noProof/>
          <w:sz w:val="21"/>
          <w:szCs w:val="21"/>
        </w:rPr>
        <w:t>(</w:t>
      </w:r>
      <w:hyperlink w:anchor="_ENREF_5" w:tooltip=", 1994 #203" w:history="1">
        <w:r w:rsidRPr="004042AB">
          <w:rPr>
            <w:rFonts w:ascii="Garamond" w:hAnsi="Garamond" w:cs="Times New Roman"/>
            <w:noProof/>
            <w:sz w:val="21"/>
            <w:szCs w:val="21"/>
          </w:rPr>
          <w:t>1994</w:t>
        </w:r>
      </w:hyperlink>
      <w:r w:rsidRPr="004042AB">
        <w:rPr>
          <w:rFonts w:ascii="Garamond" w:hAnsi="Garamond" w:cs="Times New Roman"/>
          <w:noProof/>
          <w:sz w:val="21"/>
          <w:szCs w:val="21"/>
        </w:rPr>
        <w:t>)</w:t>
      </w:r>
      <w:r w:rsidRPr="004042AB">
        <w:rPr>
          <w:rFonts w:ascii="Garamond" w:hAnsi="Garamond" w:cs="Times New Roman"/>
          <w:sz w:val="21"/>
          <w:szCs w:val="21"/>
        </w:rPr>
        <w:fldChar w:fldCharType="end"/>
      </w:r>
      <w:r w:rsidRPr="004042AB">
        <w:rPr>
          <w:rFonts w:ascii="Garamond" w:hAnsi="Garamond" w:cs="Times New Roman"/>
          <w:sz w:val="21"/>
          <w:szCs w:val="21"/>
        </w:rPr>
        <w:t>:</w:t>
      </w:r>
    </w:p>
    <w:p w:rsidR="003D1DF5" w:rsidRPr="007F29DA" w:rsidRDefault="003D1DF5" w:rsidP="003D1DF5">
      <w:pPr>
        <w:ind w:firstLine="709"/>
        <w:jc w:val="both"/>
        <w:rPr>
          <w:rFonts w:ascii="Garamond" w:hAnsi="Garamond" w:cs="Times New Roman"/>
          <w:sz w:val="16"/>
          <w:szCs w:val="16"/>
        </w:rPr>
      </w:pPr>
    </w:p>
    <w:p w:rsidR="003D1DF5" w:rsidRPr="007F29DA" w:rsidRDefault="003D1DF5" w:rsidP="003D1DF5">
      <w:pPr>
        <w:ind w:left="567" w:right="567" w:firstLine="567"/>
        <w:jc w:val="both"/>
        <w:rPr>
          <w:rFonts w:ascii="Garamond" w:hAnsi="Garamond" w:cs="Times New Roman"/>
          <w:i/>
          <w:sz w:val="20"/>
          <w:szCs w:val="20"/>
        </w:rPr>
      </w:pPr>
      <w:r w:rsidRPr="007F29DA">
        <w:rPr>
          <w:rFonts w:ascii="Garamond" w:hAnsi="Garamond" w:cs="Times New Roman"/>
          <w:sz w:val="20"/>
          <w:szCs w:val="20"/>
        </w:rPr>
        <w:t xml:space="preserve"> “</w:t>
      </w:r>
      <w:proofErr w:type="spellStart"/>
      <w:r w:rsidRPr="007F29DA">
        <w:rPr>
          <w:rFonts w:ascii="Garamond" w:hAnsi="Garamond" w:cs="Times New Roman"/>
          <w:i/>
          <w:sz w:val="20"/>
          <w:szCs w:val="20"/>
        </w:rPr>
        <w:t>Le</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fait</w:t>
      </w:r>
      <w:proofErr w:type="spellEnd"/>
      <w:r w:rsidRPr="007F29DA">
        <w:rPr>
          <w:rFonts w:ascii="Garamond" w:hAnsi="Garamond" w:cs="Times New Roman"/>
          <w:i/>
          <w:sz w:val="20"/>
          <w:szCs w:val="20"/>
        </w:rPr>
        <w:t xml:space="preserve">, par </w:t>
      </w:r>
      <w:proofErr w:type="spellStart"/>
      <w:r w:rsidRPr="007F29DA">
        <w:rPr>
          <w:rFonts w:ascii="Garamond" w:hAnsi="Garamond" w:cs="Times New Roman"/>
          <w:i/>
          <w:sz w:val="20"/>
          <w:szCs w:val="20"/>
        </w:rPr>
        <w:t>un</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interprète</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en</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toute</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matière</w:t>
      </w:r>
      <w:proofErr w:type="spellEnd"/>
      <w:r w:rsidRPr="007F29DA">
        <w:rPr>
          <w:rFonts w:ascii="Garamond" w:hAnsi="Garamond" w:cs="Times New Roman"/>
          <w:i/>
          <w:sz w:val="20"/>
          <w:szCs w:val="20"/>
        </w:rPr>
        <w:t xml:space="preserve">, de </w:t>
      </w:r>
      <w:proofErr w:type="spellStart"/>
      <w:r w:rsidRPr="007F29DA">
        <w:rPr>
          <w:rFonts w:ascii="Garamond" w:hAnsi="Garamond" w:cs="Times New Roman"/>
          <w:i/>
          <w:sz w:val="20"/>
          <w:szCs w:val="20"/>
        </w:rPr>
        <w:t>dénaturer</w:t>
      </w:r>
      <w:proofErr w:type="spellEnd"/>
      <w:r w:rsidRPr="007F29DA">
        <w:rPr>
          <w:rFonts w:ascii="Garamond" w:hAnsi="Garamond" w:cs="Times New Roman"/>
          <w:i/>
          <w:sz w:val="20"/>
          <w:szCs w:val="20"/>
        </w:rPr>
        <w:t xml:space="preserve"> la </w:t>
      </w:r>
      <w:proofErr w:type="spellStart"/>
      <w:r w:rsidRPr="007F29DA">
        <w:rPr>
          <w:rFonts w:ascii="Garamond" w:hAnsi="Garamond" w:cs="Times New Roman"/>
          <w:i/>
          <w:sz w:val="20"/>
          <w:szCs w:val="20"/>
        </w:rPr>
        <w:t>substance</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des</w:t>
      </w:r>
      <w:proofErr w:type="spellEnd"/>
      <w:r w:rsidRPr="007F29DA">
        <w:rPr>
          <w:rFonts w:ascii="Garamond" w:hAnsi="Garamond" w:cs="Times New Roman"/>
          <w:i/>
          <w:sz w:val="20"/>
          <w:szCs w:val="20"/>
        </w:rPr>
        <w:t xml:space="preserve"> paroles ou </w:t>
      </w:r>
      <w:proofErr w:type="spellStart"/>
      <w:r w:rsidRPr="007F29DA">
        <w:rPr>
          <w:rFonts w:ascii="Garamond" w:hAnsi="Garamond" w:cs="Times New Roman"/>
          <w:i/>
          <w:sz w:val="20"/>
          <w:szCs w:val="20"/>
        </w:rPr>
        <w:t>documents</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traduits</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est</w:t>
      </w:r>
      <w:proofErr w:type="spellEnd"/>
      <w:r w:rsidRPr="007F29DA">
        <w:rPr>
          <w:rFonts w:ascii="Garamond" w:hAnsi="Garamond" w:cs="Times New Roman"/>
          <w:i/>
          <w:sz w:val="20"/>
          <w:szCs w:val="20"/>
        </w:rPr>
        <w:t xml:space="preserve"> puni, </w:t>
      </w:r>
      <w:proofErr w:type="spellStart"/>
      <w:r w:rsidRPr="007F29DA">
        <w:rPr>
          <w:rFonts w:ascii="Garamond" w:hAnsi="Garamond" w:cs="Times New Roman"/>
          <w:i/>
          <w:sz w:val="20"/>
          <w:szCs w:val="20"/>
        </w:rPr>
        <w:t>selon</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les</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distinctions</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des</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articles</w:t>
      </w:r>
      <w:proofErr w:type="spellEnd"/>
      <w:r w:rsidRPr="007F29DA">
        <w:rPr>
          <w:rFonts w:ascii="Garamond" w:hAnsi="Garamond" w:cs="Times New Roman"/>
          <w:i/>
          <w:sz w:val="20"/>
          <w:szCs w:val="20"/>
        </w:rPr>
        <w:t xml:space="preserve"> 434-13 e 434-14, de </w:t>
      </w:r>
      <w:proofErr w:type="spellStart"/>
      <w:r w:rsidRPr="007F29DA">
        <w:rPr>
          <w:rFonts w:ascii="Garamond" w:hAnsi="Garamond" w:cs="Times New Roman"/>
          <w:i/>
          <w:sz w:val="20"/>
          <w:szCs w:val="20"/>
        </w:rPr>
        <w:t>cinq</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ans</w:t>
      </w:r>
      <w:proofErr w:type="spellEnd"/>
      <w:r w:rsidRPr="007F29DA">
        <w:rPr>
          <w:rFonts w:ascii="Garamond" w:hAnsi="Garamond" w:cs="Times New Roman"/>
          <w:i/>
          <w:sz w:val="20"/>
          <w:szCs w:val="20"/>
        </w:rPr>
        <w:t xml:space="preserve"> d’</w:t>
      </w:r>
      <w:proofErr w:type="spellStart"/>
      <w:r w:rsidRPr="007F29DA">
        <w:rPr>
          <w:rFonts w:ascii="Garamond" w:hAnsi="Garamond" w:cs="Times New Roman"/>
          <w:i/>
          <w:sz w:val="20"/>
          <w:szCs w:val="20"/>
        </w:rPr>
        <w:t>emprisonnement</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et</w:t>
      </w:r>
      <w:proofErr w:type="spellEnd"/>
      <w:r w:rsidRPr="007F29DA">
        <w:rPr>
          <w:rFonts w:ascii="Garamond" w:hAnsi="Garamond" w:cs="Times New Roman"/>
          <w:i/>
          <w:sz w:val="20"/>
          <w:szCs w:val="20"/>
        </w:rPr>
        <w:t xml:space="preserve"> 75000 euros d’</w:t>
      </w:r>
      <w:proofErr w:type="spellStart"/>
      <w:r w:rsidRPr="007F29DA">
        <w:rPr>
          <w:rFonts w:ascii="Garamond" w:hAnsi="Garamond" w:cs="Times New Roman"/>
          <w:i/>
          <w:sz w:val="20"/>
          <w:szCs w:val="20"/>
        </w:rPr>
        <w:t>amende</w:t>
      </w:r>
      <w:proofErr w:type="spellEnd"/>
      <w:r w:rsidRPr="007F29DA">
        <w:rPr>
          <w:rFonts w:ascii="Garamond" w:hAnsi="Garamond" w:cs="Times New Roman"/>
          <w:i/>
          <w:sz w:val="20"/>
          <w:szCs w:val="20"/>
        </w:rPr>
        <w:t xml:space="preserve"> ou de </w:t>
      </w:r>
      <w:proofErr w:type="spellStart"/>
      <w:r w:rsidRPr="007F29DA">
        <w:rPr>
          <w:rFonts w:ascii="Garamond" w:hAnsi="Garamond" w:cs="Times New Roman"/>
          <w:i/>
          <w:sz w:val="20"/>
          <w:szCs w:val="20"/>
        </w:rPr>
        <w:t>sept</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ans</w:t>
      </w:r>
      <w:proofErr w:type="spellEnd"/>
      <w:r w:rsidRPr="007F29DA">
        <w:rPr>
          <w:rFonts w:ascii="Garamond" w:hAnsi="Garamond" w:cs="Times New Roman"/>
          <w:i/>
          <w:sz w:val="20"/>
          <w:szCs w:val="20"/>
        </w:rPr>
        <w:t xml:space="preserve"> d’</w:t>
      </w:r>
      <w:proofErr w:type="spellStart"/>
      <w:r w:rsidRPr="007F29DA">
        <w:rPr>
          <w:rFonts w:ascii="Garamond" w:hAnsi="Garamond" w:cs="Times New Roman"/>
          <w:i/>
          <w:sz w:val="20"/>
          <w:szCs w:val="20"/>
        </w:rPr>
        <w:t>emprisonnement</w:t>
      </w:r>
      <w:proofErr w:type="spellEnd"/>
      <w:r w:rsidRPr="007F29DA">
        <w:rPr>
          <w:rFonts w:ascii="Garamond" w:hAnsi="Garamond" w:cs="Times New Roman"/>
          <w:i/>
          <w:sz w:val="20"/>
          <w:szCs w:val="20"/>
        </w:rPr>
        <w:t xml:space="preserve"> </w:t>
      </w:r>
      <w:proofErr w:type="spellStart"/>
      <w:r w:rsidRPr="007F29DA">
        <w:rPr>
          <w:rFonts w:ascii="Garamond" w:hAnsi="Garamond" w:cs="Times New Roman"/>
          <w:i/>
          <w:sz w:val="20"/>
          <w:szCs w:val="20"/>
        </w:rPr>
        <w:t>et</w:t>
      </w:r>
      <w:proofErr w:type="spellEnd"/>
      <w:r w:rsidRPr="007F29DA">
        <w:rPr>
          <w:rFonts w:ascii="Garamond" w:hAnsi="Garamond" w:cs="Times New Roman"/>
          <w:i/>
          <w:sz w:val="20"/>
          <w:szCs w:val="20"/>
        </w:rPr>
        <w:t xml:space="preserve"> 100000 euros d’</w:t>
      </w:r>
      <w:proofErr w:type="spellStart"/>
      <w:r w:rsidRPr="007F29DA">
        <w:rPr>
          <w:rFonts w:ascii="Garamond" w:hAnsi="Garamond" w:cs="Times New Roman"/>
          <w:i/>
          <w:sz w:val="20"/>
          <w:szCs w:val="20"/>
        </w:rPr>
        <w:t>amende</w:t>
      </w:r>
      <w:proofErr w:type="spellEnd"/>
      <w:r w:rsidRPr="007F29DA">
        <w:rPr>
          <w:rFonts w:ascii="Garamond" w:hAnsi="Garamond" w:cs="Times New Roman"/>
          <w:i/>
          <w:sz w:val="20"/>
          <w:szCs w:val="20"/>
        </w:rPr>
        <w:t>”.</w:t>
      </w:r>
    </w:p>
    <w:p w:rsidR="003D1DF5" w:rsidRPr="007F29DA" w:rsidRDefault="003D1DF5" w:rsidP="003D1DF5">
      <w:pPr>
        <w:ind w:left="851" w:right="424" w:firstLine="851"/>
        <w:jc w:val="both"/>
        <w:rPr>
          <w:rFonts w:ascii="Garamond" w:hAnsi="Garamond" w:cs="Times New Roman"/>
          <w:sz w:val="16"/>
          <w:szCs w:val="16"/>
        </w:rPr>
      </w:pPr>
    </w:p>
    <w:p w:rsidR="003D1DF5" w:rsidRPr="004042AB" w:rsidRDefault="003D1DF5" w:rsidP="003D1DF5">
      <w:pPr>
        <w:ind w:firstLine="709"/>
        <w:jc w:val="both"/>
        <w:rPr>
          <w:rFonts w:ascii="Garamond" w:hAnsi="Garamond" w:cs="Times New Roman"/>
          <w:b/>
          <w:sz w:val="21"/>
          <w:szCs w:val="21"/>
        </w:rPr>
      </w:pPr>
      <w:r w:rsidRPr="004042AB">
        <w:rPr>
          <w:rFonts w:ascii="Garamond" w:hAnsi="Garamond" w:cs="Times New Roman"/>
          <w:sz w:val="21"/>
          <w:szCs w:val="21"/>
        </w:rPr>
        <w:t>O preceito reforça o princípio de fidelidade no exercício de função do tradutor, pela cominação de sanções relativamente severas no caso de incumprimento.</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Percebe-se, depois, que o facto de alguém ser tradutor-intérprete não tem como consequência o reconhecimento, implícito que seja, de uma profissão. Trata-se, de forma diferente, de uma função junto dos tribunais. Os intérpretes-tradutores podem, por conseguinte, ser profissionais de outras áreas, sendo suficiente a experiência ou o bom conhecimento e domínio da língua. Por outro lado, se se lhe exige uma grande disponibilidade horária, a verdade é que se trata de uma função mal remunerada, como bem se comprova pela marginalização e estatuto secundarizado relativamente aos peritos de outras áreas.</w:t>
      </w:r>
    </w:p>
    <w:p w:rsidR="003D1DF5"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Uma breve análise ao procedimento seguido pela justiça para recorrer ao intérprete-tradutor mostra que este é convocado pelo juiz e que os termos e a forma da convocatória definem o tipo de tradução requerido para o efeito, consoante a tradução deva ou não ser literal. </w:t>
      </w:r>
      <w:r w:rsidRPr="002A1FB2">
        <w:rPr>
          <w:rFonts w:ascii="Garamond" w:hAnsi="Garamond" w:cs="Times New Roman"/>
          <w:sz w:val="21"/>
          <w:szCs w:val="21"/>
          <w:lang w:val="es-ES_tradnl"/>
        </w:rPr>
        <w:t xml:space="preserve">Para </w:t>
      </w:r>
      <w:proofErr w:type="spellStart"/>
      <w:r w:rsidRPr="002A1FB2">
        <w:rPr>
          <w:rFonts w:ascii="Garamond" w:hAnsi="Garamond" w:cs="Times New Roman"/>
          <w:sz w:val="21"/>
          <w:szCs w:val="21"/>
          <w:lang w:val="es-ES_tradnl"/>
        </w:rPr>
        <w:t>Sylvie</w:t>
      </w:r>
      <w:proofErr w:type="spellEnd"/>
      <w:r w:rsidRPr="002A1FB2">
        <w:rPr>
          <w:rFonts w:ascii="Garamond" w:hAnsi="Garamond" w:cs="Times New Roman"/>
          <w:sz w:val="21"/>
          <w:szCs w:val="21"/>
          <w:lang w:val="es-ES_tradnl"/>
        </w:rPr>
        <w:t xml:space="preserve"> </w:t>
      </w:r>
      <w:proofErr w:type="spellStart"/>
      <w:r w:rsidRPr="002A1FB2">
        <w:rPr>
          <w:rFonts w:ascii="Garamond" w:hAnsi="Garamond" w:cs="Times New Roman"/>
          <w:sz w:val="21"/>
          <w:szCs w:val="21"/>
          <w:lang w:val="es-ES_tradnl"/>
        </w:rPr>
        <w:t>Montjean-Decaudin</w:t>
      </w:r>
      <w:proofErr w:type="spellEnd"/>
      <w:r w:rsidRPr="002A1FB2">
        <w:rPr>
          <w:rFonts w:ascii="Garamond" w:hAnsi="Garamond" w:cs="Times New Roman"/>
          <w:sz w:val="21"/>
          <w:szCs w:val="21"/>
          <w:lang w:val="es-ES_tradnl"/>
        </w:rPr>
        <w:t>, “</w:t>
      </w:r>
      <w:proofErr w:type="spellStart"/>
      <w:r w:rsidRPr="002A1FB2">
        <w:rPr>
          <w:rFonts w:ascii="Garamond" w:hAnsi="Garamond" w:cs="Times New Roman"/>
          <w:i/>
          <w:sz w:val="21"/>
          <w:szCs w:val="21"/>
          <w:lang w:val="es-ES_tradnl"/>
        </w:rPr>
        <w:t>C’est</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l’acte</w:t>
      </w:r>
      <w:proofErr w:type="spellEnd"/>
      <w:r w:rsidRPr="002A1FB2">
        <w:rPr>
          <w:rFonts w:ascii="Garamond" w:hAnsi="Garamond" w:cs="Times New Roman"/>
          <w:i/>
          <w:sz w:val="21"/>
          <w:szCs w:val="21"/>
          <w:lang w:val="es-ES_tradnl"/>
        </w:rPr>
        <w:t xml:space="preserve"> par </w:t>
      </w:r>
      <w:proofErr w:type="spellStart"/>
      <w:r w:rsidRPr="002A1FB2">
        <w:rPr>
          <w:rFonts w:ascii="Garamond" w:hAnsi="Garamond" w:cs="Times New Roman"/>
          <w:i/>
          <w:sz w:val="21"/>
          <w:szCs w:val="21"/>
          <w:lang w:val="es-ES_tradnl"/>
        </w:rPr>
        <w:t>lequel</w:t>
      </w:r>
      <w:proofErr w:type="spellEnd"/>
      <w:r w:rsidRPr="002A1FB2">
        <w:rPr>
          <w:rFonts w:ascii="Garamond" w:hAnsi="Garamond" w:cs="Times New Roman"/>
          <w:i/>
          <w:sz w:val="21"/>
          <w:szCs w:val="21"/>
          <w:lang w:val="es-ES_tradnl"/>
        </w:rPr>
        <w:t xml:space="preserve"> le </w:t>
      </w:r>
      <w:proofErr w:type="spellStart"/>
      <w:r w:rsidRPr="002A1FB2">
        <w:rPr>
          <w:rFonts w:ascii="Garamond" w:hAnsi="Garamond" w:cs="Times New Roman"/>
          <w:i/>
          <w:sz w:val="21"/>
          <w:szCs w:val="21"/>
          <w:lang w:val="es-ES_tradnl"/>
        </w:rPr>
        <w:t>traducteur</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est</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désigné</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qui</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détermine</w:t>
      </w:r>
      <w:proofErr w:type="spellEnd"/>
      <w:r w:rsidRPr="002A1FB2">
        <w:rPr>
          <w:rFonts w:ascii="Garamond" w:hAnsi="Garamond" w:cs="Times New Roman"/>
          <w:i/>
          <w:sz w:val="21"/>
          <w:szCs w:val="21"/>
          <w:lang w:val="es-ES_tradnl"/>
        </w:rPr>
        <w:t xml:space="preserve"> si la </w:t>
      </w:r>
      <w:proofErr w:type="spellStart"/>
      <w:r w:rsidRPr="002A1FB2">
        <w:rPr>
          <w:rFonts w:ascii="Garamond" w:hAnsi="Garamond" w:cs="Times New Roman"/>
          <w:i/>
          <w:sz w:val="21"/>
          <w:szCs w:val="21"/>
          <w:lang w:val="es-ES_tradnl"/>
        </w:rPr>
        <w:t>traduction</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doit</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être</w:t>
      </w:r>
      <w:proofErr w:type="spellEnd"/>
      <w:r w:rsidRPr="002A1FB2">
        <w:rPr>
          <w:rFonts w:ascii="Garamond" w:hAnsi="Garamond" w:cs="Times New Roman"/>
          <w:i/>
          <w:sz w:val="21"/>
          <w:szCs w:val="21"/>
          <w:lang w:val="es-ES_tradnl"/>
        </w:rPr>
        <w:t xml:space="preserve"> </w:t>
      </w:r>
      <w:proofErr w:type="spellStart"/>
      <w:r w:rsidRPr="002A1FB2">
        <w:rPr>
          <w:rFonts w:ascii="Garamond" w:hAnsi="Garamond" w:cs="Times New Roman"/>
          <w:i/>
          <w:sz w:val="21"/>
          <w:szCs w:val="21"/>
          <w:lang w:val="es-ES_tradnl"/>
        </w:rPr>
        <w:t>ou</w:t>
      </w:r>
      <w:proofErr w:type="spellEnd"/>
      <w:r w:rsidRPr="002A1FB2">
        <w:rPr>
          <w:rFonts w:ascii="Garamond" w:hAnsi="Garamond" w:cs="Times New Roman"/>
          <w:i/>
          <w:sz w:val="21"/>
          <w:szCs w:val="21"/>
          <w:lang w:val="es-ES_tradnl"/>
        </w:rPr>
        <w:t xml:space="preserve"> non </w:t>
      </w:r>
      <w:proofErr w:type="spellStart"/>
      <w:r w:rsidRPr="002A1FB2">
        <w:rPr>
          <w:rFonts w:ascii="Garamond" w:hAnsi="Garamond" w:cs="Times New Roman"/>
          <w:i/>
          <w:sz w:val="21"/>
          <w:szCs w:val="21"/>
          <w:lang w:val="es-ES_tradnl"/>
        </w:rPr>
        <w:t>littérale</w:t>
      </w:r>
      <w:proofErr w:type="spellEnd"/>
      <w:r w:rsidRPr="002A1FB2">
        <w:rPr>
          <w:rFonts w:ascii="Garamond" w:hAnsi="Garamond" w:cs="Times New Roman"/>
          <w:i/>
          <w:sz w:val="21"/>
          <w:szCs w:val="21"/>
          <w:lang w:val="es-ES_tradnl"/>
        </w:rPr>
        <w:t>”.</w:t>
      </w:r>
      <w:r w:rsidRPr="004042AB">
        <w:rPr>
          <w:rFonts w:ascii="Garamond" w:hAnsi="Garamond" w:cs="Times New Roman"/>
          <w:sz w:val="21"/>
          <w:szCs w:val="21"/>
        </w:rPr>
        <w:fldChar w:fldCharType="begin"/>
      </w:r>
      <w:r w:rsidRPr="002A1FB2">
        <w:rPr>
          <w:rFonts w:ascii="Garamond" w:hAnsi="Garamond" w:cs="Times New Roman"/>
          <w:sz w:val="21"/>
          <w:szCs w:val="21"/>
          <w:lang w:val="es-ES_tradnl"/>
        </w:rPr>
        <w:instrText xml:space="preserve"> ADDIN EN.CITE &lt;EndNote&gt;&lt;Cite&gt;&lt;Author&gt;Monjean-Decaudin&lt;/Author&gt;&lt;Year&gt;2010&lt;/Year&gt;&lt;RecNum&gt;196&lt;/RecNum&gt;&lt;DisplayText&gt;(Monjean-Decaudin 2010)&lt;/DisplayText&gt;&lt;record&gt;&lt;rec-number&gt;196&lt;/rec-number&gt;&lt;foreign-keys&gt;&lt;key app="EN" db-id="p5s5999xos95zvew2zpp5d0hfv0svxpede0e"&gt;196&lt;/key&gt;&lt;/foreign-keys&gt;&lt;ref-type name="Electronic Article"&gt;43&lt;/ref-type&gt;&lt;contributors&gt;&lt;authors&gt;&lt;author&gt;Sylvie Monjean-Decaudin&lt;/author&gt;&lt;/authors&gt;&lt;/contributors&gt;&lt;titles&gt;&lt;title&gt;Approche juridique de la traduction du droit&lt;/title&gt;&lt;/titles&gt;&lt;dates&gt;&lt;year&gt;2010&lt;/year&gt;&lt;pub-dates&gt;&lt;date&gt;26/09/2013&lt;/date&gt;&lt;/pub-dates&gt;&lt;/dates&gt;&lt;urls&gt;&lt;related-urls&gt;&lt;url&gt;http://www.tradonline.fr/blog/wp-content/uploads/2010/01/sylvie-monjean-decaudin-traduction-juridique-2010.pdf&lt;/url&gt;&lt;/related-urls&gt;&lt;/urls&gt;&lt;/record&gt;&lt;/Cite&gt;&lt;/EndNote&gt;</w:instrText>
      </w:r>
      <w:r w:rsidRPr="004042AB">
        <w:rPr>
          <w:rFonts w:ascii="Garamond" w:hAnsi="Garamond" w:cs="Times New Roman"/>
          <w:sz w:val="21"/>
          <w:szCs w:val="21"/>
        </w:rPr>
        <w:fldChar w:fldCharType="separate"/>
      </w:r>
      <w:r w:rsidRPr="004042AB">
        <w:rPr>
          <w:rFonts w:ascii="Garamond" w:hAnsi="Garamond" w:cs="Times New Roman"/>
          <w:noProof/>
          <w:sz w:val="21"/>
          <w:szCs w:val="21"/>
        </w:rPr>
        <w:t>(</w:t>
      </w:r>
      <w:hyperlink w:anchor="_ENREF_11" w:tooltip="Monjean-Decaudin, 2010 #196" w:history="1">
        <w:r w:rsidRPr="004042AB">
          <w:rPr>
            <w:rFonts w:ascii="Garamond" w:hAnsi="Garamond" w:cs="Times New Roman"/>
            <w:noProof/>
            <w:sz w:val="21"/>
            <w:szCs w:val="21"/>
          </w:rPr>
          <w:t>Monjean-Decaudin 2010</w:t>
        </w:r>
      </w:hyperlink>
      <w:r w:rsidRPr="004042AB">
        <w:rPr>
          <w:rFonts w:ascii="Garamond" w:hAnsi="Garamond" w:cs="Times New Roman"/>
          <w:noProof/>
          <w:sz w:val="21"/>
          <w:szCs w:val="21"/>
        </w:rPr>
        <w:t>)</w:t>
      </w:r>
      <w:r w:rsidRPr="004042AB">
        <w:rPr>
          <w:rFonts w:ascii="Garamond" w:hAnsi="Garamond" w:cs="Times New Roman"/>
          <w:sz w:val="21"/>
          <w:szCs w:val="21"/>
        </w:rPr>
        <w:fldChar w:fldCharType="end"/>
      </w:r>
    </w:p>
    <w:p w:rsidR="003D1DF5" w:rsidRPr="004042AB" w:rsidRDefault="003D1DF5" w:rsidP="003D1DF5">
      <w:pPr>
        <w:pStyle w:val="PargrafodaLista"/>
        <w:numPr>
          <w:ilvl w:val="0"/>
          <w:numId w:val="1"/>
        </w:numPr>
        <w:spacing w:after="0"/>
        <w:ind w:left="0" w:firstLine="709"/>
        <w:rPr>
          <w:rFonts w:ascii="Garamond" w:hAnsi="Garamond"/>
          <w:sz w:val="21"/>
          <w:szCs w:val="21"/>
          <w:lang w:val="pt-PT"/>
        </w:rPr>
      </w:pPr>
      <w:r w:rsidRPr="004042AB">
        <w:rPr>
          <w:rFonts w:ascii="Garamond" w:hAnsi="Garamond"/>
          <w:sz w:val="21"/>
          <w:szCs w:val="21"/>
          <w:lang w:val="pt-PT"/>
        </w:rPr>
        <w:t xml:space="preserve">Caso seja designado por requisição, o que sucede na maioria dos casos, o intérprete-tradutor tem que apresentar uma tradução literal, considerada como tradução fiel aos olhos da justiça. É chamada </w:t>
      </w:r>
      <w:proofErr w:type="spellStart"/>
      <w:r w:rsidRPr="004042AB">
        <w:rPr>
          <w:rFonts w:ascii="Garamond" w:hAnsi="Garamond"/>
          <w:i/>
          <w:sz w:val="21"/>
          <w:szCs w:val="21"/>
          <w:lang w:val="pt-PT"/>
        </w:rPr>
        <w:t>simple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traduction</w:t>
      </w:r>
      <w:proofErr w:type="spellEnd"/>
      <w:r w:rsidRPr="004042AB">
        <w:rPr>
          <w:rFonts w:ascii="Garamond" w:hAnsi="Garamond"/>
          <w:sz w:val="21"/>
          <w:szCs w:val="21"/>
          <w:lang w:val="pt-PT"/>
        </w:rPr>
        <w:t>. A questão é de saber se o texto traduzido neste modo pode ter efeitos jurídicos.</w:t>
      </w:r>
    </w:p>
    <w:p w:rsidR="003D1DF5" w:rsidRDefault="003D1DF5" w:rsidP="003D1DF5">
      <w:pPr>
        <w:pStyle w:val="PargrafodaLista"/>
        <w:numPr>
          <w:ilvl w:val="0"/>
          <w:numId w:val="1"/>
        </w:numPr>
        <w:spacing w:after="0"/>
        <w:ind w:left="0" w:firstLine="709"/>
        <w:rPr>
          <w:rFonts w:ascii="Garamond" w:hAnsi="Garamond"/>
          <w:sz w:val="21"/>
          <w:szCs w:val="21"/>
          <w:lang w:val="pt-PT"/>
        </w:rPr>
      </w:pPr>
      <w:r w:rsidRPr="004042AB">
        <w:rPr>
          <w:rFonts w:ascii="Garamond" w:hAnsi="Garamond"/>
          <w:sz w:val="21"/>
          <w:szCs w:val="21"/>
          <w:lang w:val="pt-PT"/>
        </w:rPr>
        <w:t xml:space="preserve">Caso </w:t>
      </w:r>
      <w:proofErr w:type="spellStart"/>
      <w:r w:rsidRPr="004042AB">
        <w:rPr>
          <w:rFonts w:ascii="Garamond" w:hAnsi="Garamond"/>
          <w:sz w:val="21"/>
          <w:szCs w:val="21"/>
          <w:lang w:val="pt-PT"/>
        </w:rPr>
        <w:t>sejadesignado</w:t>
      </w:r>
      <w:proofErr w:type="spellEnd"/>
      <w:r w:rsidRPr="004042AB">
        <w:rPr>
          <w:rFonts w:ascii="Garamond" w:hAnsi="Garamond"/>
          <w:sz w:val="21"/>
          <w:szCs w:val="21"/>
          <w:lang w:val="pt-PT"/>
        </w:rPr>
        <w:t xml:space="preserve"> por despacho de peritagem, por</w:t>
      </w:r>
      <w:r w:rsidRPr="004042AB">
        <w:rPr>
          <w:rFonts w:ascii="Garamond" w:hAnsi="Garamond"/>
          <w:i/>
          <w:sz w:val="21"/>
          <w:szCs w:val="21"/>
          <w:lang w:val="pt-PT"/>
        </w:rPr>
        <w:t xml:space="preserve"> </w:t>
      </w:r>
      <w:proofErr w:type="spellStart"/>
      <w:r w:rsidRPr="004042AB">
        <w:rPr>
          <w:rFonts w:ascii="Garamond" w:hAnsi="Garamond"/>
          <w:i/>
          <w:sz w:val="21"/>
          <w:szCs w:val="21"/>
          <w:lang w:val="pt-PT"/>
        </w:rPr>
        <w:t>ordonnance</w:t>
      </w:r>
      <w:proofErr w:type="spellEnd"/>
      <w:r w:rsidRPr="004042AB">
        <w:rPr>
          <w:rFonts w:ascii="Garamond" w:hAnsi="Garamond"/>
          <w:i/>
          <w:sz w:val="21"/>
          <w:szCs w:val="21"/>
          <w:lang w:val="pt-PT"/>
        </w:rPr>
        <w:t xml:space="preserve"> d’expertise, </w:t>
      </w:r>
      <w:r w:rsidRPr="004042AB">
        <w:rPr>
          <w:rFonts w:ascii="Garamond" w:hAnsi="Garamond"/>
          <w:sz w:val="21"/>
          <w:szCs w:val="21"/>
          <w:lang w:val="pt-PT"/>
        </w:rPr>
        <w:t>a tradução pode afastar-se do texto original, “</w:t>
      </w:r>
      <w:proofErr w:type="spellStart"/>
      <w:r w:rsidRPr="004042AB">
        <w:rPr>
          <w:rFonts w:ascii="Garamond" w:hAnsi="Garamond"/>
          <w:i/>
          <w:sz w:val="21"/>
          <w:szCs w:val="21"/>
          <w:lang w:val="pt-PT"/>
        </w:rPr>
        <w:t>lorsque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l’ordonnance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du</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juge</w:t>
      </w:r>
      <w:proofErr w:type="spellEnd"/>
      <w:r w:rsidRPr="004042AB">
        <w:rPr>
          <w:rFonts w:ascii="Garamond" w:hAnsi="Garamond"/>
          <w:i/>
          <w:sz w:val="21"/>
          <w:szCs w:val="21"/>
          <w:lang w:val="pt-PT"/>
        </w:rPr>
        <w:t xml:space="preserve"> pose </w:t>
      </w:r>
      <w:proofErr w:type="spellStart"/>
      <w:r w:rsidRPr="004042AB">
        <w:rPr>
          <w:rFonts w:ascii="Garamond" w:hAnsi="Garamond"/>
          <w:i/>
          <w:sz w:val="21"/>
          <w:szCs w:val="21"/>
          <w:lang w:val="pt-PT"/>
        </w:rPr>
        <w:t>sur</w:t>
      </w:r>
      <w:proofErr w:type="spellEnd"/>
      <w:r w:rsidRPr="004042AB">
        <w:rPr>
          <w:rFonts w:ascii="Garamond" w:hAnsi="Garamond"/>
          <w:i/>
          <w:sz w:val="21"/>
          <w:szCs w:val="21"/>
          <w:lang w:val="pt-PT"/>
        </w:rPr>
        <w:t xml:space="preserve"> une </w:t>
      </w:r>
      <w:proofErr w:type="spellStart"/>
      <w:r w:rsidRPr="004042AB">
        <w:rPr>
          <w:rFonts w:ascii="Garamond" w:hAnsi="Garamond"/>
          <w:i/>
          <w:sz w:val="21"/>
          <w:szCs w:val="21"/>
          <w:lang w:val="pt-PT"/>
        </w:rPr>
        <w:t>question</w:t>
      </w:r>
      <w:proofErr w:type="spellEnd"/>
      <w:r w:rsidRPr="004042AB">
        <w:rPr>
          <w:rFonts w:ascii="Garamond" w:hAnsi="Garamond"/>
          <w:i/>
          <w:sz w:val="21"/>
          <w:szCs w:val="21"/>
          <w:lang w:val="pt-PT"/>
        </w:rPr>
        <w:t xml:space="preserve"> </w:t>
      </w:r>
      <w:r w:rsidRPr="004042AB">
        <w:rPr>
          <w:rFonts w:ascii="Garamond" w:hAnsi="Garamond"/>
          <w:i/>
          <w:sz w:val="21"/>
          <w:szCs w:val="21"/>
          <w:lang w:val="pt-PT"/>
        </w:rPr>
        <w:lastRenderedPageBreak/>
        <w:t>d’</w:t>
      </w:r>
      <w:proofErr w:type="spellStart"/>
      <w:r w:rsidRPr="004042AB">
        <w:rPr>
          <w:rFonts w:ascii="Garamond" w:hAnsi="Garamond"/>
          <w:i/>
          <w:sz w:val="21"/>
          <w:szCs w:val="21"/>
          <w:lang w:val="pt-PT"/>
        </w:rPr>
        <w:t>ordre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technique</w:t>
      </w:r>
      <w:proofErr w:type="spellEnd"/>
      <w:r w:rsidRPr="004042AB">
        <w:rPr>
          <w:rFonts w:ascii="Garamond" w:hAnsi="Garamond"/>
          <w:i/>
          <w:sz w:val="21"/>
          <w:szCs w:val="21"/>
          <w:lang w:val="pt-PT"/>
        </w:rPr>
        <w:t xml:space="preserve">”, </w:t>
      </w:r>
      <w:r w:rsidRPr="004042AB">
        <w:rPr>
          <w:rFonts w:ascii="Garamond" w:hAnsi="Garamond"/>
          <w:sz w:val="21"/>
          <w:szCs w:val="21"/>
          <w:lang w:val="pt-PT"/>
        </w:rPr>
        <w:t>ou seja, quando se trata de uma intervenção de natureza técnica relativa a uma questão de fundo.</w:t>
      </w:r>
    </w:p>
    <w:p w:rsidR="003D1DF5"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É através da jurisprudência da </w:t>
      </w:r>
      <w:proofErr w:type="spellStart"/>
      <w:r w:rsidRPr="004042AB">
        <w:rPr>
          <w:rFonts w:ascii="Garamond" w:hAnsi="Garamond" w:cs="Times New Roman"/>
          <w:i/>
          <w:sz w:val="21"/>
          <w:szCs w:val="21"/>
        </w:rPr>
        <w:t>Cour</w:t>
      </w:r>
      <w:proofErr w:type="spellEnd"/>
      <w:r w:rsidRPr="004042AB">
        <w:rPr>
          <w:rFonts w:ascii="Garamond" w:hAnsi="Garamond" w:cs="Times New Roman"/>
          <w:i/>
          <w:sz w:val="21"/>
          <w:szCs w:val="21"/>
        </w:rPr>
        <w:t xml:space="preserve"> de </w:t>
      </w:r>
      <w:proofErr w:type="spellStart"/>
      <w:r w:rsidRPr="004042AB">
        <w:rPr>
          <w:rFonts w:ascii="Garamond" w:hAnsi="Garamond" w:cs="Times New Roman"/>
          <w:i/>
          <w:sz w:val="21"/>
          <w:szCs w:val="21"/>
        </w:rPr>
        <w:t>cassation</w:t>
      </w:r>
      <w:proofErr w:type="spellEnd"/>
      <w:r w:rsidRPr="004042AB">
        <w:rPr>
          <w:rFonts w:ascii="Garamond" w:hAnsi="Garamond" w:cs="Times New Roman"/>
          <w:sz w:val="21"/>
          <w:szCs w:val="21"/>
        </w:rPr>
        <w:t xml:space="preserve"> (equivalente, em França, ao Supremo Tribunal de Justiça português) que é possível delinear o procedimento seguido pelo juiz no requerimento de um serviço de tradução. A jurisprudência consolidou-se através de três casos principais:</w:t>
      </w:r>
    </w:p>
    <w:p w:rsidR="003D1DF5" w:rsidRPr="00537EB1" w:rsidRDefault="003D1DF5" w:rsidP="003D1DF5">
      <w:pPr>
        <w:ind w:firstLine="709"/>
        <w:jc w:val="both"/>
        <w:rPr>
          <w:rFonts w:ascii="Garamond" w:hAnsi="Garamond" w:cs="Times New Roman"/>
          <w:sz w:val="16"/>
          <w:szCs w:val="16"/>
        </w:rPr>
      </w:pPr>
    </w:p>
    <w:p w:rsidR="003D1DF5" w:rsidRPr="00537EB1" w:rsidRDefault="003D1DF5" w:rsidP="003D1DF5">
      <w:pPr>
        <w:pStyle w:val="PargrafodaLista"/>
        <w:numPr>
          <w:ilvl w:val="0"/>
          <w:numId w:val="3"/>
        </w:numPr>
        <w:spacing w:after="0"/>
        <w:ind w:left="0" w:firstLine="709"/>
        <w:rPr>
          <w:rFonts w:ascii="Garamond" w:hAnsi="Garamond"/>
          <w:sz w:val="21"/>
          <w:szCs w:val="21"/>
          <w:lang w:val="pt-PT"/>
        </w:rPr>
      </w:pPr>
      <w:r w:rsidRPr="00537EB1">
        <w:rPr>
          <w:rFonts w:ascii="Garamond" w:hAnsi="Garamond"/>
          <w:sz w:val="21"/>
          <w:szCs w:val="21"/>
          <w:lang w:val="pt-PT"/>
        </w:rPr>
        <w:t xml:space="preserve">O caso, porventura famoso, do massacre de </w:t>
      </w:r>
      <w:proofErr w:type="spellStart"/>
      <w:r w:rsidRPr="00537EB1">
        <w:rPr>
          <w:rFonts w:ascii="Garamond" w:hAnsi="Garamond"/>
          <w:sz w:val="21"/>
          <w:szCs w:val="21"/>
          <w:lang w:val="pt-PT"/>
        </w:rPr>
        <w:t>Auriol</w:t>
      </w:r>
      <w:proofErr w:type="spellEnd"/>
      <w:r w:rsidRPr="00537EB1">
        <w:rPr>
          <w:rFonts w:ascii="Garamond" w:hAnsi="Garamond"/>
          <w:sz w:val="21"/>
          <w:szCs w:val="21"/>
          <w:lang w:val="pt-PT"/>
        </w:rPr>
        <w:t xml:space="preserve"> (</w:t>
      </w:r>
      <w:r w:rsidRPr="00537EB1">
        <w:rPr>
          <w:rFonts w:ascii="Garamond" w:hAnsi="Garamond"/>
          <w:i/>
          <w:sz w:val="21"/>
          <w:szCs w:val="21"/>
          <w:lang w:val="pt-PT"/>
        </w:rPr>
        <w:t xml:space="preserve">La </w:t>
      </w:r>
      <w:proofErr w:type="spellStart"/>
      <w:r w:rsidRPr="00537EB1">
        <w:rPr>
          <w:rFonts w:ascii="Garamond" w:hAnsi="Garamond"/>
          <w:i/>
          <w:sz w:val="21"/>
          <w:szCs w:val="21"/>
          <w:lang w:val="pt-PT"/>
        </w:rPr>
        <w:t>tuerie</w:t>
      </w:r>
      <w:proofErr w:type="spellEnd"/>
      <w:r w:rsidRPr="00537EB1">
        <w:rPr>
          <w:rFonts w:ascii="Garamond" w:hAnsi="Garamond"/>
          <w:i/>
          <w:sz w:val="21"/>
          <w:szCs w:val="21"/>
          <w:lang w:val="pt-PT"/>
        </w:rPr>
        <w:t xml:space="preserve"> d’</w:t>
      </w:r>
      <w:proofErr w:type="spellStart"/>
      <w:r w:rsidRPr="00537EB1">
        <w:rPr>
          <w:rFonts w:ascii="Garamond" w:hAnsi="Garamond"/>
          <w:i/>
          <w:sz w:val="21"/>
          <w:szCs w:val="21"/>
          <w:lang w:val="pt-PT"/>
        </w:rPr>
        <w:t>Auriol</w:t>
      </w:r>
      <w:proofErr w:type="spellEnd"/>
      <w:r w:rsidRPr="00537EB1">
        <w:rPr>
          <w:rFonts w:ascii="Garamond" w:hAnsi="Garamond"/>
          <w:i/>
          <w:sz w:val="21"/>
          <w:szCs w:val="21"/>
          <w:lang w:val="pt-PT"/>
        </w:rPr>
        <w:t xml:space="preserve">), </w:t>
      </w:r>
      <w:r w:rsidRPr="00537EB1">
        <w:rPr>
          <w:rFonts w:ascii="Garamond" w:hAnsi="Garamond"/>
          <w:sz w:val="21"/>
          <w:szCs w:val="21"/>
          <w:lang w:val="pt-PT"/>
        </w:rPr>
        <w:t xml:space="preserve">de 1984 </w:t>
      </w:r>
      <w:r w:rsidRPr="00537EB1">
        <w:rPr>
          <w:rFonts w:ascii="Garamond" w:hAnsi="Garamond"/>
          <w:sz w:val="21"/>
          <w:szCs w:val="21"/>
        </w:rPr>
        <w:fldChar w:fldCharType="begin"/>
      </w:r>
      <w:r w:rsidRPr="00537EB1">
        <w:rPr>
          <w:rFonts w:ascii="Garamond" w:hAnsi="Garamond"/>
          <w:sz w:val="21"/>
          <w:szCs w:val="21"/>
          <w:lang w:val="pt-PT"/>
        </w:rPr>
        <w:instrText xml:space="preserve"> ADDIN EN.CITE &lt;EndNote&gt;&lt;Cite&gt;&lt;Year&gt;1984&lt;/Year&gt;&lt;RecNum&gt;198&lt;/RecNum&gt;&lt;DisplayText&gt;(1984)&lt;/DisplayText&gt;&lt;record&gt;&lt;rec-number&gt;198&lt;/rec-number&gt;&lt;foreign-keys&gt;&lt;key app="EN" db-id="p5s5999xos95zvew2zpp5d0hfv0svxpede0e"&gt;198&lt;/key&gt;&lt;/foreign-keys&gt;&lt;ref-type name="Hearing"&gt;14&lt;/ref-type&gt;&lt;contributors&gt;&lt;/contributors&gt;&lt;titles&gt;&lt;title&gt;France, Cour de cassation, Chambre criminelle, 19 juin 1984, 84-91908&lt;/title&gt;&lt;/titles&gt;&lt;dates&gt;&lt;year&gt;1984&lt;/year&gt;&lt;/dates&gt;&lt;urls&gt;&lt;related-urls&gt;&lt;url&gt;http://www.legifrance.gouv.fr/affichJuriJudi.do?oldAction=rechJuriJudi&amp;amp;idTexte=JURITEXT000007062799&amp;amp;fastReqId=120568713&amp;amp;fastPos=2&lt;/url&gt;&lt;/related-urls&gt;&lt;/urls&gt;&lt;access-date&gt;26/09/2013&lt;/access-date&gt;&lt;/record&gt;&lt;/Cite&gt;&lt;/EndNote&gt;</w:instrText>
      </w:r>
      <w:r w:rsidRPr="00537EB1">
        <w:rPr>
          <w:rFonts w:ascii="Garamond" w:hAnsi="Garamond"/>
          <w:sz w:val="21"/>
          <w:szCs w:val="21"/>
        </w:rPr>
        <w:fldChar w:fldCharType="separate"/>
      </w:r>
      <w:r w:rsidRPr="00537EB1">
        <w:rPr>
          <w:rFonts w:ascii="Garamond" w:hAnsi="Garamond"/>
          <w:noProof/>
          <w:sz w:val="21"/>
          <w:szCs w:val="21"/>
          <w:lang w:val="pt-PT"/>
        </w:rPr>
        <w:t>(</w:t>
      </w:r>
      <w:hyperlink w:anchor="_ENREF_3" w:tooltip=", 1984 #198" w:history="1">
        <w:r w:rsidRPr="00537EB1">
          <w:rPr>
            <w:rFonts w:ascii="Garamond" w:hAnsi="Garamond"/>
            <w:noProof/>
            <w:sz w:val="21"/>
            <w:szCs w:val="21"/>
            <w:lang w:val="pt-PT"/>
          </w:rPr>
          <w:t>1984</w:t>
        </w:r>
      </w:hyperlink>
      <w:r w:rsidRPr="00537EB1">
        <w:rPr>
          <w:rFonts w:ascii="Garamond" w:hAnsi="Garamond"/>
          <w:noProof/>
          <w:sz w:val="21"/>
          <w:szCs w:val="21"/>
          <w:lang w:val="pt-PT"/>
        </w:rPr>
        <w:t>)</w:t>
      </w:r>
      <w:r w:rsidRPr="00537EB1">
        <w:rPr>
          <w:rFonts w:ascii="Garamond" w:hAnsi="Garamond"/>
          <w:sz w:val="21"/>
          <w:szCs w:val="21"/>
        </w:rPr>
        <w:fldChar w:fldCharType="end"/>
      </w:r>
      <w:r w:rsidRPr="00537EB1">
        <w:rPr>
          <w:rFonts w:ascii="Garamond" w:hAnsi="Garamond"/>
          <w:sz w:val="21"/>
          <w:szCs w:val="21"/>
          <w:lang w:val="pt-PT"/>
        </w:rPr>
        <w:t xml:space="preserve">, decisão da </w:t>
      </w:r>
      <w:proofErr w:type="spellStart"/>
      <w:r w:rsidRPr="00537EB1">
        <w:rPr>
          <w:rFonts w:ascii="Garamond" w:hAnsi="Garamond"/>
          <w:i/>
          <w:sz w:val="21"/>
          <w:szCs w:val="21"/>
          <w:lang w:val="pt-PT"/>
        </w:rPr>
        <w:t>Cour</w:t>
      </w:r>
      <w:proofErr w:type="spellEnd"/>
      <w:r w:rsidRPr="00537EB1">
        <w:rPr>
          <w:rFonts w:ascii="Garamond" w:hAnsi="Garamond"/>
          <w:i/>
          <w:sz w:val="21"/>
          <w:szCs w:val="21"/>
          <w:lang w:val="pt-PT"/>
        </w:rPr>
        <w:t xml:space="preserve"> de </w:t>
      </w:r>
      <w:proofErr w:type="spellStart"/>
      <w:r w:rsidRPr="00537EB1">
        <w:rPr>
          <w:rFonts w:ascii="Garamond" w:hAnsi="Garamond"/>
          <w:i/>
          <w:sz w:val="21"/>
          <w:szCs w:val="21"/>
          <w:lang w:val="pt-PT"/>
        </w:rPr>
        <w:t>cassation</w:t>
      </w:r>
      <w:proofErr w:type="spellEnd"/>
      <w:r w:rsidRPr="00537EB1">
        <w:rPr>
          <w:rFonts w:ascii="Garamond" w:hAnsi="Garamond"/>
          <w:sz w:val="21"/>
          <w:szCs w:val="21"/>
          <w:lang w:val="pt-PT"/>
        </w:rPr>
        <w:t xml:space="preserve"> de 19 de Junho de 1984. A </w:t>
      </w:r>
      <w:proofErr w:type="spellStart"/>
      <w:r w:rsidRPr="00537EB1">
        <w:rPr>
          <w:rFonts w:ascii="Garamond" w:hAnsi="Garamond"/>
          <w:i/>
          <w:sz w:val="21"/>
          <w:szCs w:val="21"/>
          <w:lang w:val="pt-PT"/>
        </w:rPr>
        <w:t>Cour</w:t>
      </w:r>
      <w:proofErr w:type="spellEnd"/>
      <w:r w:rsidRPr="00537EB1">
        <w:rPr>
          <w:rFonts w:ascii="Garamond" w:hAnsi="Garamond"/>
          <w:i/>
          <w:sz w:val="21"/>
          <w:szCs w:val="21"/>
          <w:lang w:val="pt-PT"/>
        </w:rPr>
        <w:t xml:space="preserve"> de </w:t>
      </w:r>
      <w:proofErr w:type="spellStart"/>
      <w:r w:rsidRPr="00537EB1">
        <w:rPr>
          <w:rFonts w:ascii="Garamond" w:hAnsi="Garamond"/>
          <w:i/>
          <w:sz w:val="21"/>
          <w:szCs w:val="21"/>
          <w:lang w:val="pt-PT"/>
        </w:rPr>
        <w:t>cassation</w:t>
      </w:r>
      <w:proofErr w:type="spellEnd"/>
      <w:r w:rsidRPr="00537EB1">
        <w:rPr>
          <w:rFonts w:ascii="Garamond" w:hAnsi="Garamond"/>
          <w:i/>
          <w:sz w:val="21"/>
          <w:szCs w:val="21"/>
          <w:lang w:val="pt-PT"/>
        </w:rPr>
        <w:t xml:space="preserve"> </w:t>
      </w:r>
      <w:r w:rsidRPr="00537EB1">
        <w:rPr>
          <w:rFonts w:ascii="Garamond" w:hAnsi="Garamond"/>
          <w:sz w:val="21"/>
          <w:szCs w:val="21"/>
          <w:lang w:val="pt-PT"/>
        </w:rPr>
        <w:t xml:space="preserve">teve que deliberar sobre um eventual vício de forma, já que a </w:t>
      </w:r>
      <w:proofErr w:type="spellStart"/>
      <w:r w:rsidRPr="00537EB1">
        <w:rPr>
          <w:rFonts w:ascii="Garamond" w:hAnsi="Garamond"/>
          <w:i/>
          <w:sz w:val="21"/>
          <w:szCs w:val="21"/>
          <w:lang w:val="pt-PT"/>
        </w:rPr>
        <w:t>cour</w:t>
      </w:r>
      <w:proofErr w:type="spellEnd"/>
      <w:r w:rsidRPr="00537EB1">
        <w:rPr>
          <w:rFonts w:ascii="Garamond" w:hAnsi="Garamond"/>
          <w:i/>
          <w:sz w:val="21"/>
          <w:szCs w:val="21"/>
          <w:lang w:val="pt-PT"/>
        </w:rPr>
        <w:t xml:space="preserve"> d’</w:t>
      </w:r>
      <w:proofErr w:type="spellStart"/>
      <w:r w:rsidRPr="00537EB1">
        <w:rPr>
          <w:rFonts w:ascii="Garamond" w:hAnsi="Garamond"/>
          <w:i/>
          <w:sz w:val="21"/>
          <w:szCs w:val="21"/>
          <w:lang w:val="pt-PT"/>
        </w:rPr>
        <w:t>appel</w:t>
      </w:r>
      <w:proofErr w:type="spellEnd"/>
      <w:r w:rsidRPr="00537EB1">
        <w:rPr>
          <w:rFonts w:ascii="Garamond" w:hAnsi="Garamond"/>
          <w:sz w:val="21"/>
          <w:szCs w:val="21"/>
          <w:lang w:val="pt-PT"/>
        </w:rPr>
        <w:t xml:space="preserve"> não tinha recorrido aos serviços de um perito intérprete-tradutor mas a uma simples tradutora para traduzir o depoimento recolhido em alemão por um agente de polícia em Zurique. O tribunal considerou que a tradutora tinha apenas como missão dar a conhecer ao juiz o sentido literal do depoimento e não proferir um parecer técnico. Assim sendo, não se tratava de uma peritagem e não havia necessidade de recorrer aos serviços de um perito.</w:t>
      </w:r>
    </w:p>
    <w:p w:rsidR="003D1DF5" w:rsidRPr="00537EB1" w:rsidRDefault="003D1DF5" w:rsidP="003D1DF5">
      <w:pPr>
        <w:ind w:firstLine="709"/>
        <w:jc w:val="both"/>
        <w:rPr>
          <w:rFonts w:ascii="Garamond" w:hAnsi="Garamond" w:cs="Times New Roman"/>
          <w:sz w:val="16"/>
          <w:szCs w:val="16"/>
        </w:rPr>
      </w:pPr>
    </w:p>
    <w:p w:rsidR="003D1DF5" w:rsidRPr="00537EB1" w:rsidRDefault="003D1DF5" w:rsidP="003D1DF5">
      <w:pPr>
        <w:pStyle w:val="PargrafodaLista"/>
        <w:numPr>
          <w:ilvl w:val="0"/>
          <w:numId w:val="3"/>
        </w:numPr>
        <w:spacing w:after="0"/>
        <w:ind w:left="0" w:firstLine="709"/>
        <w:rPr>
          <w:rFonts w:ascii="Garamond" w:hAnsi="Garamond"/>
          <w:sz w:val="21"/>
          <w:szCs w:val="21"/>
          <w:lang w:val="pt-PT"/>
        </w:rPr>
      </w:pPr>
      <w:r w:rsidRPr="00537EB1">
        <w:rPr>
          <w:rFonts w:ascii="Garamond" w:hAnsi="Garamond"/>
          <w:sz w:val="21"/>
          <w:szCs w:val="21"/>
          <w:lang w:val="pt-PT"/>
        </w:rPr>
        <w:t xml:space="preserve">Surge em Outubro de 1984 um segundo caso </w:t>
      </w:r>
      <w:r w:rsidRPr="00537EB1">
        <w:rPr>
          <w:rFonts w:ascii="Garamond" w:hAnsi="Garamond"/>
          <w:sz w:val="21"/>
          <w:szCs w:val="21"/>
        </w:rPr>
        <w:fldChar w:fldCharType="begin"/>
      </w:r>
      <w:r w:rsidRPr="00537EB1">
        <w:rPr>
          <w:rFonts w:ascii="Garamond" w:hAnsi="Garamond"/>
          <w:sz w:val="21"/>
          <w:szCs w:val="21"/>
          <w:lang w:val="pt-PT"/>
        </w:rPr>
        <w:instrText xml:space="preserve"> ADDIN EN.CITE &lt;EndNote&gt;&lt;Cite&gt;&lt;Year&gt;1984&lt;/Year&gt;&lt;RecNum&gt;200&lt;/RecNum&gt;&lt;DisplayText&gt;(1984)&lt;/DisplayText&gt;&lt;record&gt;&lt;rec-number&gt;200&lt;/rec-number&gt;&lt;foreign-keys&gt;&lt;key app="EN" db-id="p5s5999xos95zvew2zpp5d0hfv0svxpede0e"&gt;200&lt;/key&gt;&lt;/foreign-keys&gt;&lt;ref-type name="Hearing"&gt;14&lt;/ref-type&gt;&lt;contributors&gt;&lt;/contributors&gt;&lt;titles&gt;&lt;title&gt;COUR DE CASSATION, ASSEMBLÉE PLÉNIÈRE, DU 19 OCTOBRE 1984, 84-93.713, PUBLIÉ AU BULLETIN&lt;/title&gt;&lt;/titles&gt;&lt;dates&gt;&lt;year&gt;1984&lt;/year&gt;&lt;/dates&gt;&lt;urls&gt;&lt;related-urls&gt;&lt;url&gt;http://legimobile.fr/fr/jp/j/c/aple/1984/84-93713/&lt;/url&gt;&lt;/related-urls&gt;&lt;/urls&gt;&lt;access-date&gt;26/09/2013&lt;/access-date&gt;&lt;/record&gt;&lt;/Cite&gt;&lt;/EndNote&gt;</w:instrText>
      </w:r>
      <w:r w:rsidRPr="00537EB1">
        <w:rPr>
          <w:rFonts w:ascii="Garamond" w:hAnsi="Garamond"/>
          <w:sz w:val="21"/>
          <w:szCs w:val="21"/>
        </w:rPr>
        <w:fldChar w:fldCharType="separate"/>
      </w:r>
      <w:r w:rsidRPr="00537EB1">
        <w:rPr>
          <w:rFonts w:ascii="Garamond" w:hAnsi="Garamond"/>
          <w:noProof/>
          <w:sz w:val="21"/>
          <w:szCs w:val="21"/>
          <w:lang w:val="pt-PT"/>
        </w:rPr>
        <w:t>(</w:t>
      </w:r>
      <w:hyperlink w:anchor="_ENREF_2" w:tooltip=", 1984 #200" w:history="1">
        <w:r w:rsidRPr="00537EB1">
          <w:rPr>
            <w:rFonts w:ascii="Garamond" w:hAnsi="Garamond"/>
            <w:noProof/>
            <w:sz w:val="21"/>
            <w:szCs w:val="21"/>
            <w:lang w:val="pt-PT"/>
          </w:rPr>
          <w:t>1984</w:t>
        </w:r>
      </w:hyperlink>
      <w:r w:rsidRPr="00537EB1">
        <w:rPr>
          <w:rFonts w:ascii="Garamond" w:hAnsi="Garamond"/>
          <w:noProof/>
          <w:sz w:val="21"/>
          <w:szCs w:val="21"/>
          <w:lang w:val="pt-PT"/>
        </w:rPr>
        <w:t>)</w:t>
      </w:r>
      <w:r w:rsidRPr="00537EB1">
        <w:rPr>
          <w:rFonts w:ascii="Garamond" w:hAnsi="Garamond"/>
          <w:sz w:val="21"/>
          <w:szCs w:val="21"/>
        </w:rPr>
        <w:fldChar w:fldCharType="end"/>
      </w:r>
      <w:r w:rsidRPr="00537EB1">
        <w:rPr>
          <w:rFonts w:ascii="Garamond" w:hAnsi="Garamond"/>
          <w:sz w:val="21"/>
          <w:szCs w:val="21"/>
          <w:lang w:val="pt-PT"/>
        </w:rPr>
        <w:t xml:space="preserve"> em que a </w:t>
      </w:r>
      <w:proofErr w:type="spellStart"/>
      <w:r w:rsidRPr="00537EB1">
        <w:rPr>
          <w:rFonts w:ascii="Garamond" w:hAnsi="Garamond"/>
          <w:i/>
          <w:sz w:val="21"/>
          <w:szCs w:val="21"/>
          <w:lang w:val="pt-PT"/>
        </w:rPr>
        <w:t>Cour</w:t>
      </w:r>
      <w:proofErr w:type="spellEnd"/>
      <w:r w:rsidRPr="00537EB1">
        <w:rPr>
          <w:rFonts w:ascii="Garamond" w:hAnsi="Garamond"/>
          <w:i/>
          <w:sz w:val="21"/>
          <w:szCs w:val="21"/>
          <w:lang w:val="pt-PT"/>
        </w:rPr>
        <w:t xml:space="preserve"> de </w:t>
      </w:r>
      <w:proofErr w:type="spellStart"/>
      <w:r w:rsidRPr="00537EB1">
        <w:rPr>
          <w:rFonts w:ascii="Garamond" w:hAnsi="Garamond"/>
          <w:i/>
          <w:sz w:val="21"/>
          <w:szCs w:val="21"/>
          <w:lang w:val="pt-PT"/>
        </w:rPr>
        <w:t>cassation</w:t>
      </w:r>
      <w:proofErr w:type="spellEnd"/>
      <w:r w:rsidRPr="00537EB1">
        <w:rPr>
          <w:rFonts w:ascii="Garamond" w:hAnsi="Garamond"/>
          <w:i/>
          <w:sz w:val="21"/>
          <w:szCs w:val="21"/>
          <w:lang w:val="pt-PT"/>
        </w:rPr>
        <w:t xml:space="preserve"> </w:t>
      </w:r>
      <w:r w:rsidRPr="00537EB1">
        <w:rPr>
          <w:rFonts w:ascii="Garamond" w:hAnsi="Garamond"/>
          <w:sz w:val="21"/>
          <w:szCs w:val="21"/>
          <w:lang w:val="pt-PT"/>
        </w:rPr>
        <w:t>explicou que “em caso de dificuldade (original manuscrito ilegível, fotografia em mau estado), o perito pode alegar a impossibilidade de proceder a uma tradução literal; sempre que possível, dá o sentido geral do texto correspondente, formulando eventualmente algumas reservas.”</w:t>
      </w:r>
    </w:p>
    <w:p w:rsidR="003D1DF5" w:rsidRPr="00537EB1" w:rsidRDefault="003D1DF5" w:rsidP="003D1DF5">
      <w:pPr>
        <w:pStyle w:val="PargrafodaLista"/>
        <w:ind w:left="0" w:firstLine="709"/>
        <w:rPr>
          <w:rFonts w:ascii="Garamond" w:hAnsi="Garamond"/>
          <w:sz w:val="16"/>
          <w:szCs w:val="16"/>
          <w:lang w:val="pt-PT"/>
        </w:rPr>
      </w:pPr>
    </w:p>
    <w:p w:rsidR="003D1DF5" w:rsidRPr="00537EB1" w:rsidRDefault="003D1DF5" w:rsidP="003D1DF5">
      <w:pPr>
        <w:pStyle w:val="PargrafodaLista"/>
        <w:numPr>
          <w:ilvl w:val="0"/>
          <w:numId w:val="3"/>
        </w:numPr>
        <w:spacing w:after="0"/>
        <w:ind w:left="0" w:firstLine="709"/>
        <w:rPr>
          <w:rFonts w:ascii="Garamond" w:hAnsi="Garamond"/>
          <w:noProof/>
          <w:sz w:val="21"/>
          <w:szCs w:val="21"/>
          <w:lang w:val="pt-PT"/>
        </w:rPr>
      </w:pPr>
      <w:r w:rsidRPr="00537EB1">
        <w:rPr>
          <w:rFonts w:ascii="Garamond" w:hAnsi="Garamond"/>
          <w:sz w:val="21"/>
          <w:szCs w:val="21"/>
          <w:lang w:val="pt-PT"/>
        </w:rPr>
        <w:t xml:space="preserve">Num terceiro caso, de Março de 1991 </w:t>
      </w:r>
      <w:r w:rsidRPr="00537EB1">
        <w:rPr>
          <w:rFonts w:ascii="Garamond" w:hAnsi="Garamond"/>
          <w:sz w:val="21"/>
          <w:szCs w:val="21"/>
        </w:rPr>
        <w:fldChar w:fldCharType="begin"/>
      </w:r>
      <w:r w:rsidRPr="00537EB1">
        <w:rPr>
          <w:rFonts w:ascii="Garamond" w:hAnsi="Garamond"/>
          <w:sz w:val="21"/>
          <w:szCs w:val="21"/>
          <w:lang w:val="pt-PT"/>
        </w:rPr>
        <w:instrText xml:space="preserve"> ADDIN EN.CITE &lt;EndNote&gt;&lt;Cite&gt;&lt;Year&gt;1991&lt;/Year&gt;&lt;RecNum&gt;197&lt;/RecNum&gt;&lt;DisplayText&gt;(1991)&lt;/DisplayText&gt;&lt;record&gt;&lt;rec-number&gt;197&lt;/rec-number&gt;&lt;foreign-keys&gt;&lt;key app="EN" db-id="p5s5999xos95zvew2zpp5d0hfv0svxpede0e"&gt;197&lt;/key&gt;&lt;/foreign-keys&gt;&lt;ref-type name="Hearing"&gt;14&lt;/ref-type&gt;&lt;contributors&gt;&lt;/contributors&gt;&lt;titles&gt;&lt;title&gt;COUR DE CASSATION, CHAMBRE CRIMINELLE, DU 19 MARS 1991, 89-82.978, INÉDIT&amp;#xD;REJET&lt;/title&gt;&lt;/titles&gt;&lt;dates&gt;&lt;year&gt;1991&lt;/year&gt;&lt;/dates&gt;&lt;urls&gt;&lt;related-urls&gt;&lt;url&gt;http://legimobile.fr/fr/jp/j/c/crim/1991/3/19/89-82978/&lt;/url&gt;&lt;/related-urls&gt;&lt;/urls&gt;&lt;access-date&gt;26/09/2013&lt;/access-date&gt;&lt;/record&gt;&lt;/Cite&gt;&lt;/EndNote&gt;</w:instrText>
      </w:r>
      <w:r w:rsidRPr="00537EB1">
        <w:rPr>
          <w:rFonts w:ascii="Garamond" w:hAnsi="Garamond"/>
          <w:sz w:val="21"/>
          <w:szCs w:val="21"/>
        </w:rPr>
        <w:fldChar w:fldCharType="separate"/>
      </w:r>
      <w:r w:rsidRPr="00537EB1">
        <w:rPr>
          <w:rFonts w:ascii="Garamond" w:hAnsi="Garamond"/>
          <w:noProof/>
          <w:sz w:val="21"/>
          <w:szCs w:val="21"/>
          <w:lang w:val="pt-PT"/>
        </w:rPr>
        <w:t>(</w:t>
      </w:r>
      <w:hyperlink w:anchor="_ENREF_4" w:tooltip=", 1991 #197" w:history="1">
        <w:r w:rsidRPr="00537EB1">
          <w:rPr>
            <w:rFonts w:ascii="Garamond" w:hAnsi="Garamond"/>
            <w:noProof/>
            <w:sz w:val="21"/>
            <w:szCs w:val="21"/>
            <w:lang w:val="pt-PT"/>
          </w:rPr>
          <w:t>1991</w:t>
        </w:r>
      </w:hyperlink>
      <w:r w:rsidRPr="00537EB1">
        <w:rPr>
          <w:rFonts w:ascii="Garamond" w:hAnsi="Garamond"/>
          <w:noProof/>
          <w:sz w:val="21"/>
          <w:szCs w:val="21"/>
          <w:lang w:val="pt-PT"/>
        </w:rPr>
        <w:t>)</w:t>
      </w:r>
      <w:r w:rsidRPr="00537EB1">
        <w:rPr>
          <w:rFonts w:ascii="Garamond" w:hAnsi="Garamond"/>
          <w:sz w:val="21"/>
          <w:szCs w:val="21"/>
        </w:rPr>
        <w:fldChar w:fldCharType="end"/>
      </w:r>
      <w:r w:rsidRPr="00537EB1">
        <w:rPr>
          <w:rFonts w:ascii="Garamond" w:hAnsi="Garamond"/>
          <w:sz w:val="21"/>
          <w:szCs w:val="21"/>
          <w:lang w:val="pt-PT"/>
        </w:rPr>
        <w:t xml:space="preserve">, a </w:t>
      </w:r>
      <w:proofErr w:type="spellStart"/>
      <w:r w:rsidRPr="00537EB1">
        <w:rPr>
          <w:rFonts w:ascii="Garamond" w:hAnsi="Garamond"/>
          <w:i/>
          <w:sz w:val="21"/>
          <w:szCs w:val="21"/>
          <w:lang w:val="pt-PT"/>
        </w:rPr>
        <w:t>Cour</w:t>
      </w:r>
      <w:proofErr w:type="spellEnd"/>
      <w:r w:rsidRPr="00537EB1">
        <w:rPr>
          <w:rFonts w:ascii="Garamond" w:hAnsi="Garamond"/>
          <w:i/>
          <w:sz w:val="21"/>
          <w:szCs w:val="21"/>
          <w:lang w:val="pt-PT"/>
        </w:rPr>
        <w:t xml:space="preserve"> de </w:t>
      </w:r>
      <w:proofErr w:type="spellStart"/>
      <w:r w:rsidRPr="00537EB1">
        <w:rPr>
          <w:rFonts w:ascii="Garamond" w:hAnsi="Garamond"/>
          <w:i/>
          <w:sz w:val="21"/>
          <w:szCs w:val="21"/>
          <w:lang w:val="pt-PT"/>
        </w:rPr>
        <w:t>Cassation</w:t>
      </w:r>
      <w:proofErr w:type="spellEnd"/>
      <w:r w:rsidRPr="00537EB1">
        <w:rPr>
          <w:rFonts w:ascii="Garamond" w:hAnsi="Garamond"/>
          <w:sz w:val="21"/>
          <w:szCs w:val="21"/>
          <w:lang w:val="pt-PT"/>
        </w:rPr>
        <w:t xml:space="preserve"> acrescentou aos esclarecimentos anteriores a possibilidade de tradução literal de qualquer tipo de documento relativo ou não à questão de fundo do processo.</w:t>
      </w:r>
    </w:p>
    <w:p w:rsidR="003D1DF5" w:rsidRPr="00537EB1" w:rsidRDefault="003D1DF5" w:rsidP="003D1DF5">
      <w:pPr>
        <w:jc w:val="both"/>
        <w:rPr>
          <w:rFonts w:ascii="Garamond" w:hAnsi="Garamond" w:cs="Times New Roman"/>
          <w:sz w:val="16"/>
          <w:szCs w:val="16"/>
        </w:rPr>
      </w:pP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Destes casos parece poder extrair-se, sem dúvida, uma clara posição de favor relativamente à tradução literal.</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A tradução pode ser determinante na formação da convicção do juiz, considerada a possibilidade de lhe ser atribuída força probatória e a produção de jurídicos. </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lastRenderedPageBreak/>
        <w:t>Na realidade, o facto de o intérprete-tradutor estar inscrito numa lista de peritos junto de um tribunal significa que desempenha as funções técnicas de um perito. Ora, se a tradução jurídica teve, no início, alguma dificuldade em definir o seu lugar na ciência da tradução e começou por ser caracterizada como tradução técnica, rapidamente encontrou o seu lugar na tradução especializada que aborda textos pragmáticos e não técnicos.</w:t>
      </w:r>
    </w:p>
    <w:p w:rsidR="003D1DF5"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Como afirmou Claude </w:t>
      </w:r>
      <w:proofErr w:type="spellStart"/>
      <w:r w:rsidRPr="004042AB">
        <w:rPr>
          <w:rFonts w:ascii="Garamond" w:hAnsi="Garamond" w:cs="Times New Roman"/>
          <w:sz w:val="21"/>
          <w:szCs w:val="21"/>
        </w:rPr>
        <w:t>Bocquet</w:t>
      </w:r>
      <w:proofErr w:type="spellEnd"/>
      <w:r w:rsidRPr="004042AB">
        <w:rPr>
          <w:rFonts w:ascii="Garamond" w:hAnsi="Garamond" w:cs="Times New Roman"/>
          <w:sz w:val="21"/>
          <w:szCs w:val="21"/>
        </w:rPr>
        <w:t xml:space="preserve">, in </w:t>
      </w:r>
      <w:r w:rsidRPr="004042AB">
        <w:rPr>
          <w:rFonts w:ascii="Garamond" w:hAnsi="Garamond" w:cs="Times New Roman"/>
          <w:i/>
          <w:sz w:val="21"/>
          <w:szCs w:val="21"/>
        </w:rPr>
        <w:t xml:space="preserve">La </w:t>
      </w:r>
      <w:proofErr w:type="spellStart"/>
      <w:r w:rsidRPr="004042AB">
        <w:rPr>
          <w:rFonts w:ascii="Garamond" w:hAnsi="Garamond" w:cs="Times New Roman"/>
          <w:i/>
          <w:sz w:val="21"/>
          <w:szCs w:val="21"/>
        </w:rPr>
        <w:t>traduction</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juridique</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fondements</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et</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méthodes</w:t>
      </w:r>
      <w:proofErr w:type="spellEnd"/>
      <w:r w:rsidRPr="004042AB">
        <w:rPr>
          <w:rFonts w:ascii="Garamond" w:hAnsi="Garamond" w:cs="Times New Roman"/>
          <w:i/>
          <w:sz w:val="21"/>
          <w:szCs w:val="21"/>
        </w:rPr>
        <w:t xml:space="preserve">, </w:t>
      </w:r>
      <w:proofErr w:type="spellStart"/>
      <w:r w:rsidRPr="004042AB">
        <w:rPr>
          <w:rFonts w:ascii="Garamond" w:hAnsi="Garamond" w:cs="Times New Roman"/>
          <w:i/>
          <w:sz w:val="21"/>
          <w:szCs w:val="21"/>
        </w:rPr>
        <w:t>Bruxelles</w:t>
      </w:r>
      <w:proofErr w:type="spellEnd"/>
      <w:r w:rsidRPr="004042AB">
        <w:rPr>
          <w:rFonts w:ascii="Garamond" w:hAnsi="Garamond" w:cs="Times New Roman"/>
          <w:sz w:val="21"/>
          <w:szCs w:val="21"/>
        </w:rPr>
        <w:t xml:space="preserve">, 2008 </w:t>
      </w:r>
      <w:r w:rsidRPr="004042AB">
        <w:rPr>
          <w:rFonts w:ascii="Garamond" w:hAnsi="Garamond" w:cs="Times New Roman"/>
          <w:sz w:val="21"/>
          <w:szCs w:val="21"/>
        </w:rPr>
        <w:fldChar w:fldCharType="begin"/>
      </w:r>
      <w:r w:rsidRPr="004042AB">
        <w:rPr>
          <w:rFonts w:ascii="Garamond" w:hAnsi="Garamond" w:cs="Times New Roman"/>
          <w:sz w:val="21"/>
          <w:szCs w:val="21"/>
        </w:rPr>
        <w:instrText xml:space="preserve"> ADDIN EN.CITE &lt;EndNote&gt;&lt;Cite&gt;&lt;Author&gt;Bocquet&lt;/Author&gt;&lt;Year&gt;2008&lt;/Year&gt;&lt;RecNum&gt;1&lt;/RecNum&gt;&lt;DisplayText&gt;(Bocquet 2008)&lt;/DisplayText&gt;&lt;record&gt;&lt;rec-number&gt;1&lt;/rec-number&gt;&lt;foreign-keys&gt;&lt;key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4042AB">
        <w:rPr>
          <w:rFonts w:ascii="Garamond" w:hAnsi="Garamond" w:cs="Times New Roman"/>
          <w:sz w:val="21"/>
          <w:szCs w:val="21"/>
        </w:rPr>
        <w:fldChar w:fldCharType="separate"/>
      </w:r>
      <w:r w:rsidRPr="004042AB">
        <w:rPr>
          <w:rFonts w:ascii="Garamond" w:hAnsi="Garamond" w:cs="Times New Roman"/>
          <w:noProof/>
          <w:sz w:val="21"/>
          <w:szCs w:val="21"/>
        </w:rPr>
        <w:t>(</w:t>
      </w:r>
      <w:hyperlink w:anchor="_ENREF_8" w:tooltip="Bocquet, 2008 #1" w:history="1">
        <w:r w:rsidRPr="004042AB">
          <w:rPr>
            <w:rFonts w:ascii="Garamond" w:hAnsi="Garamond" w:cs="Times New Roman"/>
            <w:noProof/>
            <w:sz w:val="21"/>
            <w:szCs w:val="21"/>
          </w:rPr>
          <w:t>Bocquet 2008</w:t>
        </w:r>
      </w:hyperlink>
      <w:r w:rsidRPr="004042AB">
        <w:rPr>
          <w:rFonts w:ascii="Garamond" w:hAnsi="Garamond" w:cs="Times New Roman"/>
          <w:noProof/>
          <w:sz w:val="21"/>
          <w:szCs w:val="21"/>
        </w:rPr>
        <w:t>)</w:t>
      </w:r>
      <w:r w:rsidRPr="004042AB">
        <w:rPr>
          <w:rFonts w:ascii="Garamond" w:hAnsi="Garamond" w:cs="Times New Roman"/>
          <w:sz w:val="21"/>
          <w:szCs w:val="21"/>
        </w:rPr>
        <w:fldChar w:fldCharType="end"/>
      </w:r>
      <w:r w:rsidRPr="004042AB">
        <w:rPr>
          <w:rFonts w:ascii="Garamond" w:hAnsi="Garamond" w:cs="Times New Roman"/>
          <w:sz w:val="21"/>
          <w:szCs w:val="21"/>
        </w:rPr>
        <w:t xml:space="preserve">, </w:t>
      </w:r>
    </w:p>
    <w:p w:rsidR="003D1DF5" w:rsidRPr="00537EB1" w:rsidRDefault="003D1DF5" w:rsidP="003D1DF5">
      <w:pPr>
        <w:ind w:firstLine="709"/>
        <w:jc w:val="both"/>
        <w:rPr>
          <w:rFonts w:ascii="Garamond" w:hAnsi="Garamond" w:cs="Times New Roman"/>
          <w:sz w:val="16"/>
          <w:szCs w:val="16"/>
        </w:rPr>
      </w:pPr>
    </w:p>
    <w:p w:rsidR="003D1DF5" w:rsidRPr="00537EB1" w:rsidRDefault="003D1DF5" w:rsidP="003D1DF5">
      <w:pPr>
        <w:ind w:left="567" w:right="567" w:firstLine="567"/>
        <w:jc w:val="both"/>
        <w:rPr>
          <w:rFonts w:ascii="Garamond" w:hAnsi="Garamond" w:cs="Times New Roman"/>
          <w:sz w:val="20"/>
          <w:szCs w:val="20"/>
        </w:rPr>
      </w:pPr>
      <w:r w:rsidRPr="00537EB1">
        <w:rPr>
          <w:rFonts w:ascii="Garamond" w:hAnsi="Garamond" w:cs="Times New Roman"/>
          <w:sz w:val="20"/>
          <w:szCs w:val="20"/>
        </w:rPr>
        <w:t>“</w:t>
      </w:r>
      <w:proofErr w:type="spellStart"/>
      <w:r w:rsidRPr="00537EB1">
        <w:rPr>
          <w:rFonts w:ascii="Garamond" w:hAnsi="Garamond" w:cs="Times New Roman"/>
          <w:sz w:val="20"/>
          <w:szCs w:val="20"/>
        </w:rPr>
        <w:t>Dans</w:t>
      </w:r>
      <w:proofErr w:type="spellEnd"/>
      <w:r w:rsidRPr="00537EB1">
        <w:rPr>
          <w:rFonts w:ascii="Garamond" w:hAnsi="Garamond" w:cs="Times New Roman"/>
          <w:sz w:val="20"/>
          <w:szCs w:val="20"/>
        </w:rPr>
        <w:t xml:space="preserve"> la </w:t>
      </w:r>
      <w:proofErr w:type="spellStart"/>
      <w:r w:rsidRPr="00537EB1">
        <w:rPr>
          <w:rFonts w:ascii="Garamond" w:hAnsi="Garamond" w:cs="Times New Roman"/>
          <w:sz w:val="20"/>
          <w:szCs w:val="20"/>
        </w:rPr>
        <w:t>vraie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traduction</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technique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celle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des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textes</w:t>
      </w:r>
      <w:proofErr w:type="spellEnd"/>
      <w:r w:rsidRPr="00537EB1">
        <w:rPr>
          <w:rFonts w:ascii="Garamond" w:hAnsi="Garamond" w:cs="Times New Roman"/>
          <w:sz w:val="20"/>
          <w:szCs w:val="20"/>
        </w:rPr>
        <w:t xml:space="preserve"> qui </w:t>
      </w:r>
      <w:proofErr w:type="spellStart"/>
      <w:r w:rsidRPr="00537EB1">
        <w:rPr>
          <w:rFonts w:ascii="Garamond" w:hAnsi="Garamond" w:cs="Times New Roman"/>
          <w:sz w:val="20"/>
          <w:szCs w:val="20"/>
        </w:rPr>
        <w:t>relèvent</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des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sciences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exactes</w:t>
      </w:r>
      <w:proofErr w:type="spellEnd"/>
      <w:r w:rsidRPr="00537EB1">
        <w:rPr>
          <w:rFonts w:ascii="Garamond" w:hAnsi="Garamond" w:cs="Times New Roman"/>
          <w:sz w:val="20"/>
          <w:szCs w:val="20"/>
        </w:rPr>
        <w:t xml:space="preserve"> ou </w:t>
      </w:r>
      <w:proofErr w:type="spellStart"/>
      <w:r w:rsidRPr="00537EB1">
        <w:rPr>
          <w:rFonts w:ascii="Garamond" w:hAnsi="Garamond" w:cs="Times New Roman"/>
          <w:sz w:val="20"/>
          <w:szCs w:val="20"/>
        </w:rPr>
        <w:t>des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techniques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diverses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le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signifié</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étant</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exactement</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le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même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quelque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soit</w:t>
      </w:r>
      <w:proofErr w:type="spellEnd"/>
      <w:r w:rsidRPr="00537EB1">
        <w:rPr>
          <w:rFonts w:ascii="Garamond" w:hAnsi="Garamond" w:cs="Times New Roman"/>
          <w:sz w:val="20"/>
          <w:szCs w:val="20"/>
        </w:rPr>
        <w:t xml:space="preserve"> la langue qui </w:t>
      </w:r>
      <w:proofErr w:type="spellStart"/>
      <w:r w:rsidRPr="00537EB1">
        <w:rPr>
          <w:rFonts w:ascii="Garamond" w:hAnsi="Garamond" w:cs="Times New Roman"/>
          <w:sz w:val="20"/>
          <w:szCs w:val="20"/>
        </w:rPr>
        <w:t>l’exprime</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les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deux</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signifiants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linguistiques</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pourront</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être</w:t>
      </w:r>
      <w:proofErr w:type="spellEnd"/>
      <w:r w:rsidRPr="00537EB1">
        <w:rPr>
          <w:rFonts w:ascii="Garamond" w:hAnsi="Garamond" w:cs="Times New Roman"/>
          <w:sz w:val="20"/>
          <w:szCs w:val="20"/>
        </w:rPr>
        <w:t xml:space="preserve"> mis </w:t>
      </w:r>
      <w:proofErr w:type="spellStart"/>
      <w:r w:rsidRPr="00537EB1">
        <w:rPr>
          <w:rFonts w:ascii="Garamond" w:hAnsi="Garamond" w:cs="Times New Roman"/>
          <w:sz w:val="20"/>
          <w:szCs w:val="20"/>
        </w:rPr>
        <w:t>en</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regard</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dans</w:t>
      </w:r>
      <w:proofErr w:type="spellEnd"/>
      <w:r w:rsidRPr="00537EB1">
        <w:rPr>
          <w:rFonts w:ascii="Garamond" w:hAnsi="Garamond" w:cs="Times New Roman"/>
          <w:sz w:val="20"/>
          <w:szCs w:val="20"/>
        </w:rPr>
        <w:t xml:space="preserve"> une </w:t>
      </w:r>
      <w:proofErr w:type="spellStart"/>
      <w:r w:rsidRPr="00537EB1">
        <w:rPr>
          <w:rFonts w:ascii="Garamond" w:hAnsi="Garamond" w:cs="Times New Roman"/>
          <w:sz w:val="20"/>
          <w:szCs w:val="20"/>
        </w:rPr>
        <w:t>situation</w:t>
      </w:r>
      <w:proofErr w:type="spellEnd"/>
      <w:r w:rsidRPr="00537EB1">
        <w:rPr>
          <w:rFonts w:ascii="Garamond" w:hAnsi="Garamond" w:cs="Times New Roman"/>
          <w:sz w:val="20"/>
          <w:szCs w:val="20"/>
        </w:rPr>
        <w:t xml:space="preserve"> </w:t>
      </w:r>
      <w:proofErr w:type="spellStart"/>
      <w:r w:rsidRPr="00537EB1">
        <w:rPr>
          <w:rFonts w:ascii="Garamond" w:hAnsi="Garamond" w:cs="Times New Roman"/>
          <w:sz w:val="20"/>
          <w:szCs w:val="20"/>
        </w:rPr>
        <w:t>biunivoque</w:t>
      </w:r>
      <w:proofErr w:type="spellEnd"/>
      <w:r w:rsidRPr="00537EB1">
        <w:rPr>
          <w:rFonts w:ascii="Garamond" w:hAnsi="Garamond" w:cs="Times New Roman"/>
          <w:sz w:val="20"/>
          <w:szCs w:val="20"/>
        </w:rPr>
        <w:t>”.</w:t>
      </w:r>
    </w:p>
    <w:p w:rsidR="003D1DF5" w:rsidRPr="00537EB1" w:rsidRDefault="003D1DF5" w:rsidP="003D1DF5">
      <w:pPr>
        <w:ind w:left="567" w:right="424"/>
        <w:jc w:val="both"/>
        <w:rPr>
          <w:rFonts w:ascii="Garamond" w:hAnsi="Garamond" w:cs="Times New Roman"/>
          <w:i/>
          <w:sz w:val="16"/>
          <w:szCs w:val="16"/>
        </w:rPr>
      </w:pPr>
    </w:p>
    <w:p w:rsidR="003D1DF5" w:rsidRPr="00537EB1"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Depois, é importante acentuar como a linguagem jurídica veicula noções que são próprias a uma tradição, uma cultura ou um sistema (jurídico ou de outra natureza). Desenvolveu, além disso, uma terminologia e uma fraseologia próprias porquanto, nomeadamente, os particularismos culturais dificultam o processo de equivalência linguística.</w:t>
      </w:r>
    </w:p>
    <w:p w:rsidR="003D1DF5" w:rsidRPr="00537EB1"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Por todos estes motivos, concluímos que a tradução jurídica se afasta da tradução técnica.</w:t>
      </w:r>
    </w:p>
    <w:p w:rsidR="003D1DF5" w:rsidRPr="00537EB1"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 xml:space="preserve">Uma noção </w:t>
      </w:r>
      <w:proofErr w:type="spellStart"/>
      <w:r w:rsidRPr="00537EB1">
        <w:rPr>
          <w:rFonts w:ascii="Garamond" w:hAnsi="Garamond" w:cs="Times New Roman"/>
          <w:sz w:val="21"/>
          <w:szCs w:val="21"/>
        </w:rPr>
        <w:t>jurídicapossui</w:t>
      </w:r>
      <w:proofErr w:type="spellEnd"/>
      <w:r w:rsidRPr="00537EB1">
        <w:rPr>
          <w:rFonts w:ascii="Garamond" w:hAnsi="Garamond" w:cs="Times New Roman"/>
          <w:sz w:val="21"/>
          <w:szCs w:val="21"/>
        </w:rPr>
        <w:t xml:space="preserve"> uma carga conceptual que, por isso, dificulta a tradução: como traduzir de uma língua e de um sistema jurídico para o outro quando não existem os mesmos conceitos jurídicos ou uma noção existe mas não tem correspondência directa noutra língua? </w:t>
      </w:r>
    </w:p>
    <w:p w:rsidR="003D1DF5" w:rsidRPr="00537EB1" w:rsidRDefault="003D1DF5" w:rsidP="003D1DF5">
      <w:pPr>
        <w:ind w:firstLine="709"/>
        <w:jc w:val="both"/>
        <w:rPr>
          <w:rFonts w:ascii="Garamond" w:hAnsi="Garamond" w:cs="Times New Roman"/>
          <w:sz w:val="21"/>
          <w:szCs w:val="21"/>
          <w:lang w:val="fr-FR"/>
        </w:rPr>
      </w:pPr>
      <w:r w:rsidRPr="00537EB1">
        <w:rPr>
          <w:rFonts w:ascii="Garamond" w:hAnsi="Garamond" w:cs="Times New Roman"/>
          <w:sz w:val="21"/>
          <w:szCs w:val="21"/>
          <w:lang w:val="fr-FR"/>
        </w:rPr>
        <w:t xml:space="preserve">Sylvie </w:t>
      </w:r>
      <w:proofErr w:type="spellStart"/>
      <w:r w:rsidRPr="00537EB1">
        <w:rPr>
          <w:rFonts w:ascii="Garamond" w:hAnsi="Garamond" w:cs="Times New Roman"/>
          <w:sz w:val="21"/>
          <w:szCs w:val="21"/>
          <w:lang w:val="fr-FR"/>
        </w:rPr>
        <w:t>Monjean-Decaudin</w:t>
      </w:r>
      <w:proofErr w:type="spellEnd"/>
      <w:r w:rsidRPr="00537EB1">
        <w:rPr>
          <w:rFonts w:ascii="Garamond" w:hAnsi="Garamond" w:cs="Times New Roman"/>
          <w:sz w:val="21"/>
          <w:szCs w:val="21"/>
        </w:rPr>
        <w:fldChar w:fldCharType="begin"/>
      </w:r>
      <w:r w:rsidRPr="00537EB1">
        <w:rPr>
          <w:rFonts w:ascii="Garamond" w:hAnsi="Garamond" w:cs="Times New Roman"/>
          <w:sz w:val="21"/>
          <w:szCs w:val="21"/>
          <w:lang w:val="fr-FR"/>
        </w:rPr>
        <w:instrText xml:space="preserve"> ADDIN EN.CITE &lt;EndNote&gt;&lt;Cite&gt;&lt;Author&gt;Monjean-Decaudin&lt;/Author&gt;&lt;Year&gt;2010&lt;/Year&gt;&lt;RecNum&gt;196&lt;/RecNum&gt;&lt;DisplayText&gt;(Monjean-Decaudin 2010)&lt;/DisplayText&gt;&lt;record&gt;&lt;rec-number&gt;196&lt;/rec-number&gt;&lt;foreign-keys&gt;&lt;key app="EN" db-id="p5s5999xos95zvew2zpp5d0hfv0svxpede0e"&gt;196&lt;/key&gt;&lt;/foreign-keys&gt;&lt;ref-type name="Electronic Article"&gt;43&lt;/ref-type&gt;&lt;contributors&gt;&lt;authors&gt;&lt;author&gt;Sylvie Monjean-Decaudin&lt;/author&gt;&lt;/authors&gt;&lt;/contributors&gt;&lt;titles&gt;&lt;title&gt;Approche juridique de la traduction du droit&lt;/title&gt;&lt;/titles&gt;&lt;dates&gt;&lt;year&gt;2010&lt;/year&gt;&lt;pub-dates&gt;&lt;date&gt;26/09/2013&lt;/date&gt;&lt;/pub-dates&gt;&lt;/dates&gt;&lt;urls&gt;&lt;related-urls&gt;&lt;url&gt;http://www.tradonline.fr/blog/wp-content/uploads/2010/01/sylvie-monjean-decaudin-traduction-juridique-2010.pdf&lt;/url&gt;&lt;/related-urls&gt;&lt;/urls&gt;&lt;/record&gt;&lt;/Cite&gt;&lt;/EndNote&gt;</w:instrText>
      </w:r>
      <w:r w:rsidRPr="00537EB1">
        <w:rPr>
          <w:rFonts w:ascii="Garamond" w:hAnsi="Garamond" w:cs="Times New Roman"/>
          <w:sz w:val="21"/>
          <w:szCs w:val="21"/>
        </w:rPr>
        <w:fldChar w:fldCharType="separate"/>
      </w:r>
      <w:r w:rsidRPr="00537EB1">
        <w:rPr>
          <w:rFonts w:ascii="Garamond" w:hAnsi="Garamond" w:cs="Times New Roman"/>
          <w:noProof/>
          <w:sz w:val="21"/>
          <w:szCs w:val="21"/>
          <w:lang w:val="fr-FR"/>
        </w:rPr>
        <w:t>(</w:t>
      </w:r>
      <w:hyperlink w:anchor="_ENREF_11" w:tooltip="Monjean-Decaudin, 2010 #196" w:history="1">
        <w:r w:rsidRPr="00537EB1">
          <w:rPr>
            <w:rFonts w:ascii="Garamond" w:hAnsi="Garamond" w:cs="Times New Roman"/>
            <w:noProof/>
            <w:sz w:val="21"/>
            <w:szCs w:val="21"/>
            <w:lang w:val="fr-FR"/>
          </w:rPr>
          <w:t>Monjean-Decaudin 2010</w:t>
        </w:r>
      </w:hyperlink>
      <w:r w:rsidRPr="00537EB1">
        <w:rPr>
          <w:rFonts w:ascii="Garamond" w:hAnsi="Garamond" w:cs="Times New Roman"/>
          <w:noProof/>
          <w:sz w:val="21"/>
          <w:szCs w:val="21"/>
          <w:lang w:val="fr-FR"/>
        </w:rPr>
        <w:t>)</w:t>
      </w:r>
      <w:r w:rsidRPr="00537EB1">
        <w:rPr>
          <w:rFonts w:ascii="Garamond" w:hAnsi="Garamond" w:cs="Times New Roman"/>
          <w:sz w:val="21"/>
          <w:szCs w:val="21"/>
        </w:rPr>
        <w:fldChar w:fldCharType="end"/>
      </w:r>
      <w:r w:rsidRPr="00537EB1">
        <w:rPr>
          <w:rFonts w:ascii="Garamond" w:hAnsi="Garamond" w:cs="Times New Roman"/>
          <w:sz w:val="21"/>
          <w:szCs w:val="21"/>
          <w:lang w:val="fr-FR"/>
        </w:rPr>
        <w:t xml:space="preserve"> </w:t>
      </w:r>
      <w:proofErr w:type="spellStart"/>
      <w:r w:rsidRPr="00537EB1">
        <w:rPr>
          <w:rFonts w:ascii="Garamond" w:hAnsi="Garamond" w:cs="Times New Roman"/>
          <w:sz w:val="21"/>
          <w:szCs w:val="21"/>
          <w:lang w:val="fr-FR"/>
        </w:rPr>
        <w:t>considera</w:t>
      </w:r>
      <w:proofErr w:type="spellEnd"/>
      <w:r w:rsidRPr="00537EB1">
        <w:rPr>
          <w:rFonts w:ascii="Garamond" w:hAnsi="Garamond" w:cs="Times New Roman"/>
          <w:sz w:val="21"/>
          <w:szCs w:val="21"/>
          <w:lang w:val="fr-FR"/>
        </w:rPr>
        <w:t xml:space="preserve"> que é a </w:t>
      </w:r>
      <w:proofErr w:type="spellStart"/>
      <w:r w:rsidRPr="00537EB1">
        <w:rPr>
          <w:rFonts w:ascii="Garamond" w:hAnsi="Garamond" w:cs="Times New Roman"/>
          <w:sz w:val="21"/>
          <w:szCs w:val="21"/>
          <w:lang w:val="fr-FR"/>
        </w:rPr>
        <w:t>relação</w:t>
      </w:r>
      <w:proofErr w:type="spellEnd"/>
      <w:r w:rsidRPr="00537EB1">
        <w:rPr>
          <w:rFonts w:ascii="Garamond" w:hAnsi="Garamond" w:cs="Times New Roman"/>
          <w:sz w:val="21"/>
          <w:szCs w:val="21"/>
          <w:lang w:val="fr-FR"/>
        </w:rPr>
        <w:t xml:space="preserve"> entre a </w:t>
      </w:r>
      <w:proofErr w:type="spellStart"/>
      <w:r w:rsidRPr="00537EB1">
        <w:rPr>
          <w:rFonts w:ascii="Garamond" w:hAnsi="Garamond" w:cs="Times New Roman"/>
          <w:sz w:val="21"/>
          <w:szCs w:val="21"/>
          <w:lang w:val="fr-FR"/>
        </w:rPr>
        <w:t>palavra</w:t>
      </w:r>
      <w:proofErr w:type="spellEnd"/>
      <w:r w:rsidRPr="00537EB1">
        <w:rPr>
          <w:rFonts w:ascii="Garamond" w:hAnsi="Garamond" w:cs="Times New Roman"/>
          <w:sz w:val="21"/>
          <w:szCs w:val="21"/>
          <w:lang w:val="fr-FR"/>
        </w:rPr>
        <w:t xml:space="preserve"> e o </w:t>
      </w:r>
      <w:proofErr w:type="spellStart"/>
      <w:r w:rsidRPr="00537EB1">
        <w:rPr>
          <w:rFonts w:ascii="Garamond" w:hAnsi="Garamond" w:cs="Times New Roman"/>
          <w:sz w:val="21"/>
          <w:szCs w:val="21"/>
          <w:lang w:val="fr-FR"/>
        </w:rPr>
        <w:t>conceito</w:t>
      </w:r>
      <w:proofErr w:type="spellEnd"/>
      <w:r w:rsidRPr="00537EB1">
        <w:rPr>
          <w:rFonts w:ascii="Garamond" w:hAnsi="Garamond" w:cs="Times New Roman"/>
          <w:sz w:val="21"/>
          <w:szCs w:val="21"/>
          <w:lang w:val="fr-FR"/>
        </w:rPr>
        <w:t xml:space="preserve"> que </w:t>
      </w:r>
      <w:proofErr w:type="spellStart"/>
      <w:r w:rsidRPr="00537EB1">
        <w:rPr>
          <w:rFonts w:ascii="Garamond" w:hAnsi="Garamond" w:cs="Times New Roman"/>
          <w:sz w:val="21"/>
          <w:szCs w:val="21"/>
          <w:lang w:val="fr-FR"/>
        </w:rPr>
        <w:t>está</w:t>
      </w:r>
      <w:proofErr w:type="spellEnd"/>
      <w:r w:rsidRPr="00537EB1">
        <w:rPr>
          <w:rFonts w:ascii="Garamond" w:hAnsi="Garamond" w:cs="Times New Roman"/>
          <w:sz w:val="21"/>
          <w:szCs w:val="21"/>
          <w:lang w:val="fr-FR"/>
        </w:rPr>
        <w:t xml:space="preserve"> </w:t>
      </w:r>
      <w:proofErr w:type="spellStart"/>
      <w:r w:rsidRPr="00537EB1">
        <w:rPr>
          <w:rFonts w:ascii="Garamond" w:hAnsi="Garamond" w:cs="Times New Roman"/>
          <w:sz w:val="21"/>
          <w:szCs w:val="21"/>
          <w:lang w:val="fr-FR"/>
        </w:rPr>
        <w:t>em</w:t>
      </w:r>
      <w:proofErr w:type="spellEnd"/>
      <w:r w:rsidRPr="00537EB1">
        <w:rPr>
          <w:rFonts w:ascii="Garamond" w:hAnsi="Garamond" w:cs="Times New Roman"/>
          <w:sz w:val="21"/>
          <w:szCs w:val="21"/>
          <w:lang w:val="fr-FR"/>
        </w:rPr>
        <w:t xml:space="preserve"> causa e cita Rodolfo </w:t>
      </w:r>
      <w:proofErr w:type="spellStart"/>
      <w:r w:rsidRPr="00537EB1">
        <w:rPr>
          <w:rFonts w:ascii="Garamond" w:hAnsi="Garamond" w:cs="Times New Roman"/>
          <w:sz w:val="21"/>
          <w:szCs w:val="21"/>
          <w:lang w:val="fr-FR"/>
        </w:rPr>
        <w:t>Sacco</w:t>
      </w:r>
      <w:proofErr w:type="spellEnd"/>
      <w:r w:rsidRPr="00537EB1">
        <w:rPr>
          <w:rFonts w:ascii="Garamond" w:hAnsi="Garamond" w:cs="Times New Roman"/>
          <w:sz w:val="21"/>
          <w:szCs w:val="21"/>
          <w:lang w:val="fr-FR"/>
        </w:rPr>
        <w:t xml:space="preserve">, </w:t>
      </w:r>
      <w:proofErr w:type="spellStart"/>
      <w:r w:rsidRPr="00537EB1">
        <w:rPr>
          <w:rFonts w:ascii="Garamond" w:hAnsi="Garamond" w:cs="Times New Roman"/>
          <w:sz w:val="21"/>
          <w:szCs w:val="21"/>
          <w:lang w:val="fr-FR"/>
        </w:rPr>
        <w:t>jurista</w:t>
      </w:r>
      <w:proofErr w:type="spellEnd"/>
      <w:r w:rsidRPr="00537EB1">
        <w:rPr>
          <w:rFonts w:ascii="Garamond" w:hAnsi="Garamond" w:cs="Times New Roman"/>
          <w:sz w:val="21"/>
          <w:szCs w:val="21"/>
          <w:lang w:val="fr-FR"/>
        </w:rPr>
        <w:t xml:space="preserve"> </w:t>
      </w:r>
      <w:proofErr w:type="spellStart"/>
      <w:r w:rsidRPr="00537EB1">
        <w:rPr>
          <w:rFonts w:ascii="Garamond" w:hAnsi="Garamond" w:cs="Times New Roman"/>
          <w:sz w:val="21"/>
          <w:szCs w:val="21"/>
          <w:lang w:val="fr-FR"/>
        </w:rPr>
        <w:t>comparatista</w:t>
      </w:r>
      <w:proofErr w:type="spellEnd"/>
      <w:r w:rsidRPr="00537EB1">
        <w:rPr>
          <w:rFonts w:ascii="Garamond" w:hAnsi="Garamond" w:cs="Times New Roman"/>
          <w:sz w:val="21"/>
          <w:szCs w:val="21"/>
          <w:lang w:val="fr-FR"/>
        </w:rPr>
        <w:t xml:space="preserve"> italiano: “</w:t>
      </w:r>
      <w:r w:rsidRPr="00537EB1">
        <w:rPr>
          <w:rFonts w:ascii="Garamond" w:hAnsi="Garamond" w:cs="Times New Roman"/>
          <w:i/>
          <w:sz w:val="21"/>
          <w:szCs w:val="21"/>
          <w:lang w:val="fr-FR"/>
        </w:rPr>
        <w:t xml:space="preserve">Les vraies difficultés de traduction sont dues au fait que le rapport entre mot et concept n’est pas le même dans toutes les langues juridiques”. </w:t>
      </w:r>
    </w:p>
    <w:p w:rsidR="003D1DF5" w:rsidRDefault="003D1DF5" w:rsidP="003D1DF5">
      <w:pPr>
        <w:ind w:firstLine="709"/>
        <w:jc w:val="both"/>
        <w:rPr>
          <w:rFonts w:ascii="Garamond" w:hAnsi="Garamond" w:cs="Times New Roman"/>
          <w:sz w:val="21"/>
          <w:szCs w:val="21"/>
        </w:rPr>
      </w:pPr>
    </w:p>
    <w:p w:rsidR="003D1DF5" w:rsidRDefault="003D1DF5" w:rsidP="003D1DF5">
      <w:pPr>
        <w:ind w:firstLine="709"/>
        <w:jc w:val="both"/>
        <w:rPr>
          <w:rFonts w:ascii="Garamond" w:hAnsi="Garamond" w:cs="Times New Roman"/>
          <w:sz w:val="21"/>
          <w:szCs w:val="21"/>
        </w:rPr>
      </w:pPr>
    </w:p>
    <w:p w:rsidR="003D1DF5" w:rsidRDefault="003D1DF5" w:rsidP="003D1DF5">
      <w:pPr>
        <w:ind w:firstLine="709"/>
        <w:jc w:val="both"/>
        <w:rPr>
          <w:rFonts w:ascii="Garamond" w:hAnsi="Garamond" w:cs="Times New Roman"/>
          <w:sz w:val="21"/>
          <w:szCs w:val="21"/>
        </w:rPr>
      </w:pPr>
    </w:p>
    <w:p w:rsidR="003D1DF5"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 xml:space="preserve">Claude </w:t>
      </w:r>
      <w:proofErr w:type="spellStart"/>
      <w:r w:rsidRPr="00537EB1">
        <w:rPr>
          <w:rFonts w:ascii="Garamond" w:hAnsi="Garamond" w:cs="Times New Roman"/>
          <w:sz w:val="21"/>
          <w:szCs w:val="21"/>
        </w:rPr>
        <w:t>Bocquet</w:t>
      </w:r>
      <w:proofErr w:type="spellEnd"/>
      <w:r w:rsidRPr="00537EB1">
        <w:rPr>
          <w:rFonts w:ascii="Garamond" w:hAnsi="Garamond" w:cs="Times New Roman"/>
          <w:sz w:val="21"/>
          <w:szCs w:val="21"/>
        </w:rPr>
        <w:t xml:space="preserve">, por seu turno, chama a atenção para o facto de </w:t>
      </w:r>
      <w:proofErr w:type="gramStart"/>
      <w:r w:rsidRPr="00537EB1">
        <w:rPr>
          <w:rFonts w:ascii="Garamond" w:hAnsi="Garamond" w:cs="Times New Roman"/>
          <w:sz w:val="21"/>
          <w:szCs w:val="21"/>
        </w:rPr>
        <w:t>que</w:t>
      </w:r>
      <w:proofErr w:type="gramEnd"/>
    </w:p>
    <w:p w:rsidR="003D1DF5" w:rsidRPr="00DD5C25" w:rsidRDefault="003D1DF5" w:rsidP="003D1DF5">
      <w:pPr>
        <w:ind w:firstLine="709"/>
        <w:jc w:val="both"/>
        <w:rPr>
          <w:rFonts w:ascii="Garamond" w:hAnsi="Garamond" w:cs="Times New Roman"/>
          <w:sz w:val="16"/>
          <w:szCs w:val="16"/>
        </w:rPr>
      </w:pPr>
    </w:p>
    <w:p w:rsidR="003D1DF5" w:rsidRDefault="003D1DF5" w:rsidP="003D1DF5">
      <w:pPr>
        <w:ind w:left="567" w:right="567" w:firstLine="567"/>
        <w:jc w:val="both"/>
        <w:rPr>
          <w:rFonts w:ascii="Garamond" w:hAnsi="Garamond" w:cs="Times New Roman"/>
          <w:sz w:val="20"/>
          <w:szCs w:val="20"/>
          <w:lang w:val="fr-FR"/>
        </w:rPr>
      </w:pPr>
      <w:r w:rsidRPr="00537EB1">
        <w:rPr>
          <w:rFonts w:ascii="Garamond" w:hAnsi="Garamond" w:cs="Times New Roman"/>
          <w:sz w:val="20"/>
          <w:szCs w:val="20"/>
          <w:lang w:val="fr-FR"/>
        </w:rPr>
        <w:t>“</w:t>
      </w:r>
      <w:proofErr w:type="gramStart"/>
      <w:r w:rsidRPr="00537EB1">
        <w:rPr>
          <w:rFonts w:ascii="Garamond" w:hAnsi="Garamond" w:cs="Times New Roman"/>
          <w:sz w:val="20"/>
          <w:szCs w:val="20"/>
          <w:lang w:val="fr-FR"/>
        </w:rPr>
        <w:t>le</w:t>
      </w:r>
      <w:proofErr w:type="gramEnd"/>
      <w:r w:rsidRPr="00537EB1">
        <w:rPr>
          <w:rFonts w:ascii="Garamond" w:hAnsi="Garamond" w:cs="Times New Roman"/>
          <w:sz w:val="20"/>
          <w:szCs w:val="20"/>
          <w:lang w:val="fr-FR"/>
        </w:rPr>
        <w:t xml:space="preserve"> droit a généré dans chaque langue, dans chaque culture, dans chaque pays, une terminologie et une phraséologie propres. Dès lors, la traduction juridique doit aussi assurer le passage entre ces éléments des diverses langues”.</w:t>
      </w:r>
    </w:p>
    <w:p w:rsidR="003D1DF5" w:rsidRPr="00537EB1" w:rsidRDefault="003D1DF5" w:rsidP="003D1DF5">
      <w:pPr>
        <w:ind w:left="567" w:right="567" w:firstLine="567"/>
        <w:jc w:val="both"/>
        <w:rPr>
          <w:rFonts w:ascii="Garamond" w:hAnsi="Garamond" w:cs="Times New Roman"/>
          <w:sz w:val="16"/>
          <w:szCs w:val="16"/>
          <w:lang w:val="fr-FR"/>
        </w:rPr>
      </w:pPr>
    </w:p>
    <w:p w:rsidR="003D1DF5" w:rsidRPr="00537EB1"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 xml:space="preserve">Além disso, o compromisso de fidelidade ao texto de partida como princípio da tradução literal será ou não uma garantia de qualidade da tradução? </w:t>
      </w:r>
    </w:p>
    <w:p w:rsidR="003D1DF5" w:rsidRPr="00537EB1"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Cícero foi o primeiro a definir uma teoria da tradução e distingue o seu método de tradução da prática palavra por palavra dos seus antecessores. Para ele, é mais importante conquistar o público-alvo numa linguagem em que se sinta confortável e desenvolver o vocabulário do orador e a sua competência argumentativa na língua de chegada de que seguir o texto original com precisão escrupuloso.</w:t>
      </w:r>
    </w:p>
    <w:p w:rsidR="003D1DF5" w:rsidRPr="00537EB1"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 xml:space="preserve">Autores como J.C. </w:t>
      </w:r>
      <w:proofErr w:type="spellStart"/>
      <w:r w:rsidRPr="00537EB1">
        <w:rPr>
          <w:rFonts w:ascii="Garamond" w:hAnsi="Garamond" w:cs="Times New Roman"/>
          <w:sz w:val="21"/>
          <w:szCs w:val="21"/>
        </w:rPr>
        <w:t>Gémar</w:t>
      </w:r>
      <w:proofErr w:type="spellEnd"/>
      <w:r w:rsidRPr="00537EB1">
        <w:rPr>
          <w:rFonts w:ascii="Garamond" w:hAnsi="Garamond" w:cs="Times New Roman"/>
          <w:sz w:val="21"/>
          <w:szCs w:val="21"/>
        </w:rPr>
        <w:t xml:space="preserve"> e </w:t>
      </w:r>
      <w:proofErr w:type="spellStart"/>
      <w:r w:rsidRPr="00537EB1">
        <w:rPr>
          <w:rFonts w:ascii="Garamond" w:hAnsi="Garamond" w:cs="Times New Roman"/>
          <w:sz w:val="21"/>
          <w:szCs w:val="21"/>
        </w:rPr>
        <w:t>Malcom</w:t>
      </w:r>
      <w:proofErr w:type="spellEnd"/>
      <w:r w:rsidRPr="00537EB1">
        <w:rPr>
          <w:rFonts w:ascii="Garamond" w:hAnsi="Garamond" w:cs="Times New Roman"/>
          <w:sz w:val="21"/>
          <w:szCs w:val="21"/>
        </w:rPr>
        <w:t xml:space="preserve"> </w:t>
      </w:r>
      <w:proofErr w:type="spellStart"/>
      <w:r w:rsidRPr="00537EB1">
        <w:rPr>
          <w:rFonts w:ascii="Garamond" w:hAnsi="Garamond" w:cs="Times New Roman"/>
          <w:sz w:val="21"/>
          <w:szCs w:val="21"/>
        </w:rPr>
        <w:t>Harvey</w:t>
      </w:r>
      <w:proofErr w:type="spellEnd"/>
      <w:r w:rsidRPr="00537EB1">
        <w:rPr>
          <w:rFonts w:ascii="Garamond" w:hAnsi="Garamond" w:cs="Times New Roman"/>
          <w:sz w:val="21"/>
          <w:szCs w:val="21"/>
        </w:rPr>
        <w:t xml:space="preserve"> orientam os seus estudos a favor da equivalência de sentido entre o original e a sua tradução. </w:t>
      </w:r>
    </w:p>
    <w:p w:rsidR="003D1DF5" w:rsidRPr="004042AB" w:rsidRDefault="003D1DF5" w:rsidP="003D1DF5">
      <w:pPr>
        <w:ind w:firstLine="709"/>
        <w:jc w:val="both"/>
        <w:rPr>
          <w:rFonts w:ascii="Garamond" w:hAnsi="Garamond" w:cs="Times New Roman"/>
          <w:sz w:val="21"/>
          <w:szCs w:val="21"/>
        </w:rPr>
      </w:pPr>
      <w:r w:rsidRPr="00537EB1">
        <w:rPr>
          <w:rFonts w:ascii="Garamond" w:hAnsi="Garamond" w:cs="Times New Roman"/>
          <w:sz w:val="21"/>
          <w:szCs w:val="21"/>
        </w:rPr>
        <w:t xml:space="preserve">Em 2002, </w:t>
      </w:r>
      <w:proofErr w:type="spellStart"/>
      <w:r w:rsidRPr="00537EB1">
        <w:rPr>
          <w:rFonts w:ascii="Garamond" w:hAnsi="Garamond" w:cs="Times New Roman"/>
          <w:sz w:val="21"/>
          <w:szCs w:val="21"/>
        </w:rPr>
        <w:t>Malcom</w:t>
      </w:r>
      <w:proofErr w:type="spellEnd"/>
      <w:r w:rsidRPr="00537EB1">
        <w:rPr>
          <w:rFonts w:ascii="Garamond" w:hAnsi="Garamond" w:cs="Times New Roman"/>
          <w:sz w:val="21"/>
          <w:szCs w:val="21"/>
        </w:rPr>
        <w:t xml:space="preserve"> </w:t>
      </w:r>
      <w:proofErr w:type="spellStart"/>
      <w:r w:rsidRPr="00537EB1">
        <w:rPr>
          <w:rFonts w:ascii="Garamond" w:hAnsi="Garamond" w:cs="Times New Roman"/>
          <w:sz w:val="21"/>
          <w:szCs w:val="21"/>
        </w:rPr>
        <w:t>Harvey</w:t>
      </w:r>
      <w:proofErr w:type="spellEnd"/>
      <w:r w:rsidRPr="00537EB1">
        <w:rPr>
          <w:rFonts w:ascii="Garamond" w:hAnsi="Garamond" w:cs="Times New Roman"/>
          <w:sz w:val="21"/>
          <w:szCs w:val="21"/>
        </w:rPr>
        <w:t xml:space="preserve"> </w:t>
      </w:r>
      <w:r w:rsidRPr="00537EB1">
        <w:rPr>
          <w:rFonts w:ascii="Garamond" w:hAnsi="Garamond" w:cs="Times New Roman"/>
          <w:sz w:val="21"/>
          <w:szCs w:val="21"/>
        </w:rPr>
        <w:fldChar w:fldCharType="begin"/>
      </w:r>
      <w:r w:rsidRPr="00537EB1">
        <w:rPr>
          <w:rFonts w:ascii="Garamond" w:hAnsi="Garamond" w:cs="Times New Roman"/>
          <w:sz w:val="21"/>
          <w:szCs w:val="21"/>
        </w:rPr>
        <w:instrText xml:space="preserve"> ADDIN EN.CITE &lt;EndNote&gt;&lt;Cite&gt;&lt;Author&gt;Harvey&lt;/Author&gt;&lt;Year&gt;2002&lt;/Year&gt;&lt;RecNum&gt;16&lt;/RecNum&gt;&lt;DisplayText&gt;(Harvey 2002)&lt;/DisplayText&gt;&lt;record&gt;&lt;rec-number&gt;16&lt;/rec-number&gt;&lt;foreign-keys&gt;&lt;key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537EB1">
        <w:rPr>
          <w:rFonts w:ascii="Garamond" w:hAnsi="Garamond" w:cs="Times New Roman"/>
          <w:sz w:val="21"/>
          <w:szCs w:val="21"/>
        </w:rPr>
        <w:fldChar w:fldCharType="separate"/>
      </w:r>
      <w:r w:rsidRPr="00537EB1">
        <w:rPr>
          <w:rFonts w:ascii="Garamond" w:hAnsi="Garamond" w:cs="Times New Roman"/>
          <w:noProof/>
          <w:sz w:val="21"/>
          <w:szCs w:val="21"/>
        </w:rPr>
        <w:t>(</w:t>
      </w:r>
      <w:hyperlink w:anchor="_ENREF_10" w:tooltip="Harvey, 2002 #16" w:history="1">
        <w:r w:rsidRPr="00537EB1">
          <w:rPr>
            <w:rFonts w:ascii="Garamond" w:hAnsi="Garamond" w:cs="Times New Roman"/>
            <w:noProof/>
            <w:sz w:val="21"/>
            <w:szCs w:val="21"/>
          </w:rPr>
          <w:t>Harvey 2002</w:t>
        </w:r>
      </w:hyperlink>
      <w:r w:rsidRPr="00537EB1">
        <w:rPr>
          <w:rFonts w:ascii="Garamond" w:hAnsi="Garamond" w:cs="Times New Roman"/>
          <w:noProof/>
          <w:sz w:val="21"/>
          <w:szCs w:val="21"/>
        </w:rPr>
        <w:t>)</w:t>
      </w:r>
      <w:proofErr w:type="spellStart"/>
      <w:r w:rsidRPr="00537EB1">
        <w:rPr>
          <w:rFonts w:ascii="Garamond" w:hAnsi="Garamond" w:cs="Times New Roman"/>
          <w:sz w:val="21"/>
          <w:szCs w:val="21"/>
        </w:rPr>
        <w:fldChar w:fldCharType="end"/>
      </w:r>
      <w:r w:rsidRPr="00537EB1">
        <w:rPr>
          <w:rFonts w:ascii="Garamond" w:hAnsi="Garamond" w:cs="Times New Roman"/>
          <w:i/>
          <w:sz w:val="21"/>
          <w:szCs w:val="21"/>
        </w:rPr>
        <w:t>Traduire</w:t>
      </w:r>
      <w:proofErr w:type="spellEnd"/>
      <w:r w:rsidRPr="00537EB1">
        <w:rPr>
          <w:rFonts w:ascii="Garamond" w:hAnsi="Garamond" w:cs="Times New Roman"/>
          <w:i/>
          <w:sz w:val="21"/>
          <w:szCs w:val="21"/>
        </w:rPr>
        <w:t xml:space="preserve"> </w:t>
      </w:r>
      <w:proofErr w:type="spellStart"/>
      <w:r w:rsidRPr="00537EB1">
        <w:rPr>
          <w:rFonts w:ascii="Garamond" w:hAnsi="Garamond" w:cs="Times New Roman"/>
          <w:i/>
          <w:sz w:val="21"/>
          <w:szCs w:val="21"/>
        </w:rPr>
        <w:t>l’intraduisible</w:t>
      </w:r>
      <w:proofErr w:type="spellEnd"/>
      <w:r w:rsidRPr="00537EB1">
        <w:rPr>
          <w:rFonts w:ascii="Garamond" w:hAnsi="Garamond" w:cs="Times New Roman"/>
          <w:i/>
          <w:sz w:val="21"/>
          <w:szCs w:val="21"/>
        </w:rPr>
        <w:t xml:space="preserve">, </w:t>
      </w:r>
      <w:proofErr w:type="spellStart"/>
      <w:r w:rsidRPr="00537EB1">
        <w:rPr>
          <w:rFonts w:ascii="Garamond" w:hAnsi="Garamond" w:cs="Times New Roman"/>
          <w:i/>
          <w:sz w:val="21"/>
          <w:szCs w:val="21"/>
        </w:rPr>
        <w:t>Stratégies</w:t>
      </w:r>
      <w:proofErr w:type="spellEnd"/>
      <w:r w:rsidRPr="00537EB1">
        <w:rPr>
          <w:rFonts w:ascii="Garamond" w:hAnsi="Garamond" w:cs="Times New Roman"/>
          <w:i/>
          <w:sz w:val="21"/>
          <w:szCs w:val="21"/>
        </w:rPr>
        <w:t xml:space="preserve"> d’</w:t>
      </w:r>
      <w:proofErr w:type="spellStart"/>
      <w:r w:rsidRPr="00537EB1">
        <w:rPr>
          <w:rFonts w:ascii="Garamond" w:hAnsi="Garamond" w:cs="Times New Roman"/>
          <w:i/>
          <w:sz w:val="21"/>
          <w:szCs w:val="21"/>
        </w:rPr>
        <w:t>équivalence</w:t>
      </w:r>
      <w:proofErr w:type="spellEnd"/>
      <w:r w:rsidRPr="00537EB1">
        <w:rPr>
          <w:rFonts w:ascii="Garamond" w:hAnsi="Garamond" w:cs="Times New Roman"/>
          <w:i/>
          <w:sz w:val="21"/>
          <w:szCs w:val="21"/>
        </w:rPr>
        <w:t xml:space="preserve"> </w:t>
      </w:r>
      <w:proofErr w:type="spellStart"/>
      <w:r w:rsidRPr="00537EB1">
        <w:rPr>
          <w:rFonts w:ascii="Garamond" w:hAnsi="Garamond" w:cs="Times New Roman"/>
          <w:i/>
          <w:sz w:val="21"/>
          <w:szCs w:val="21"/>
        </w:rPr>
        <w:t>dans</w:t>
      </w:r>
      <w:proofErr w:type="spellEnd"/>
      <w:r w:rsidRPr="00537EB1">
        <w:rPr>
          <w:rFonts w:ascii="Garamond" w:hAnsi="Garamond" w:cs="Times New Roman"/>
          <w:i/>
          <w:sz w:val="21"/>
          <w:szCs w:val="21"/>
        </w:rPr>
        <w:t xml:space="preserve"> la </w:t>
      </w:r>
      <w:proofErr w:type="spellStart"/>
      <w:r w:rsidRPr="00537EB1">
        <w:rPr>
          <w:rFonts w:ascii="Garamond" w:hAnsi="Garamond" w:cs="Times New Roman"/>
          <w:i/>
          <w:sz w:val="21"/>
          <w:szCs w:val="21"/>
        </w:rPr>
        <w:t>traduction</w:t>
      </w:r>
      <w:proofErr w:type="spellEnd"/>
      <w:r w:rsidRPr="00537EB1">
        <w:rPr>
          <w:rFonts w:ascii="Garamond" w:hAnsi="Garamond" w:cs="Times New Roman"/>
          <w:i/>
          <w:sz w:val="21"/>
          <w:szCs w:val="21"/>
        </w:rPr>
        <w:t xml:space="preserve"> </w:t>
      </w:r>
      <w:proofErr w:type="spellStart"/>
      <w:r w:rsidRPr="00537EB1">
        <w:rPr>
          <w:rFonts w:ascii="Garamond" w:hAnsi="Garamond" w:cs="Times New Roman"/>
          <w:i/>
          <w:sz w:val="21"/>
          <w:szCs w:val="21"/>
        </w:rPr>
        <w:t>juridique</w:t>
      </w:r>
      <w:proofErr w:type="spellEnd"/>
      <w:r w:rsidRPr="00537EB1">
        <w:rPr>
          <w:rFonts w:ascii="Garamond" w:hAnsi="Garamond" w:cs="Times New Roman"/>
          <w:i/>
          <w:sz w:val="21"/>
          <w:szCs w:val="21"/>
        </w:rPr>
        <w:t>,</w:t>
      </w:r>
      <w:r w:rsidRPr="00537EB1">
        <w:rPr>
          <w:rFonts w:ascii="Garamond" w:hAnsi="Garamond" w:cs="Times New Roman"/>
          <w:sz w:val="21"/>
          <w:szCs w:val="21"/>
        </w:rPr>
        <w:t xml:space="preserve"> identifica 4 tipos de equivalências utilizadas conscientemente ou não pelos tradutores jurídicos e demostra que o êxito de uma técnica de tradução depende essencialmente da adequação entre a estratégia escolhida e a situação de comunicação (finalidade da tradução</w:t>
      </w:r>
      <w:r w:rsidRPr="004042AB">
        <w:rPr>
          <w:rFonts w:ascii="Garamond" w:hAnsi="Garamond" w:cs="Times New Roman"/>
          <w:sz w:val="21"/>
          <w:szCs w:val="21"/>
        </w:rPr>
        <w:t>, identidade do seu destinatário, …).</w:t>
      </w:r>
    </w:p>
    <w:p w:rsidR="003D1DF5" w:rsidRPr="004042AB" w:rsidRDefault="003D1DF5" w:rsidP="003D1DF5">
      <w:pPr>
        <w:pStyle w:val="PargrafodaLista"/>
        <w:numPr>
          <w:ilvl w:val="0"/>
          <w:numId w:val="2"/>
        </w:numPr>
        <w:spacing w:after="0"/>
        <w:ind w:left="0" w:firstLine="709"/>
        <w:rPr>
          <w:rFonts w:ascii="Garamond" w:hAnsi="Garamond"/>
          <w:sz w:val="21"/>
          <w:szCs w:val="21"/>
          <w:lang w:val="pt-PT"/>
        </w:rPr>
      </w:pPr>
      <w:r w:rsidRPr="004042AB">
        <w:rPr>
          <w:rFonts w:ascii="Garamond" w:hAnsi="Garamond"/>
          <w:sz w:val="21"/>
          <w:szCs w:val="21"/>
          <w:lang w:val="pt-PT"/>
        </w:rPr>
        <w:t>A equivalência formal, com recurso à tradução literal, que privilegia a língua de partida, com o risco de recurso ao falso amigo na tradução.</w:t>
      </w:r>
    </w:p>
    <w:p w:rsidR="003D1DF5" w:rsidRPr="004042AB" w:rsidRDefault="003D1DF5" w:rsidP="003D1DF5">
      <w:pPr>
        <w:pStyle w:val="PargrafodaLista"/>
        <w:numPr>
          <w:ilvl w:val="0"/>
          <w:numId w:val="2"/>
        </w:numPr>
        <w:spacing w:after="0"/>
        <w:ind w:left="0" w:firstLine="709"/>
        <w:rPr>
          <w:rFonts w:ascii="Garamond" w:hAnsi="Garamond"/>
          <w:sz w:val="21"/>
          <w:szCs w:val="21"/>
          <w:lang w:val="pt-PT"/>
        </w:rPr>
      </w:pPr>
      <w:r w:rsidRPr="004042AB">
        <w:rPr>
          <w:rFonts w:ascii="Garamond" w:hAnsi="Garamond"/>
          <w:sz w:val="21"/>
          <w:szCs w:val="21"/>
          <w:lang w:val="pt-PT"/>
        </w:rPr>
        <w:t xml:space="preserve">A transcrição, que mantém o termo a traduzir, não traduz. Desta forma, elimina o risco da ambiguidade da tradução. No entanto, a tradução só pode ser entendida por um público especialista, privilegia a língua de partida. </w:t>
      </w:r>
    </w:p>
    <w:p w:rsidR="003D1DF5" w:rsidRPr="004042AB" w:rsidRDefault="003D1DF5" w:rsidP="003D1DF5">
      <w:pPr>
        <w:pStyle w:val="PargrafodaLista"/>
        <w:numPr>
          <w:ilvl w:val="0"/>
          <w:numId w:val="2"/>
        </w:numPr>
        <w:spacing w:after="0"/>
        <w:ind w:left="0" w:firstLine="709"/>
        <w:rPr>
          <w:rFonts w:ascii="Garamond" w:hAnsi="Garamond"/>
          <w:sz w:val="21"/>
          <w:szCs w:val="21"/>
        </w:rPr>
      </w:pPr>
      <w:r w:rsidRPr="004042AB">
        <w:rPr>
          <w:rFonts w:ascii="Garamond" w:hAnsi="Garamond"/>
          <w:sz w:val="21"/>
          <w:szCs w:val="21"/>
          <w:lang w:val="pt-PT"/>
        </w:rPr>
        <w:t xml:space="preserve">A equivalência funcional, que consiste em procurar na língua de chegada um referente com funções semelhantes, segundo o princípio de adaptação intercultural. </w:t>
      </w:r>
      <w:proofErr w:type="spellStart"/>
      <w:r w:rsidRPr="004042AB">
        <w:rPr>
          <w:rFonts w:ascii="Garamond" w:hAnsi="Garamond"/>
          <w:sz w:val="21"/>
          <w:szCs w:val="21"/>
        </w:rPr>
        <w:t>Privilegia</w:t>
      </w:r>
      <w:proofErr w:type="spellEnd"/>
      <w:r w:rsidRPr="004042AB">
        <w:rPr>
          <w:rFonts w:ascii="Garamond" w:hAnsi="Garamond"/>
          <w:sz w:val="21"/>
          <w:szCs w:val="21"/>
        </w:rPr>
        <w:t xml:space="preserve"> a </w:t>
      </w:r>
      <w:proofErr w:type="spellStart"/>
      <w:r w:rsidRPr="004042AB">
        <w:rPr>
          <w:rFonts w:ascii="Garamond" w:hAnsi="Garamond"/>
          <w:sz w:val="21"/>
          <w:szCs w:val="21"/>
        </w:rPr>
        <w:t>língua</w:t>
      </w:r>
      <w:proofErr w:type="spellEnd"/>
      <w:r w:rsidRPr="004042AB">
        <w:rPr>
          <w:rFonts w:ascii="Garamond" w:hAnsi="Garamond"/>
          <w:sz w:val="21"/>
          <w:szCs w:val="21"/>
        </w:rPr>
        <w:t xml:space="preserve"> de </w:t>
      </w:r>
      <w:proofErr w:type="spellStart"/>
      <w:r w:rsidRPr="004042AB">
        <w:rPr>
          <w:rFonts w:ascii="Garamond" w:hAnsi="Garamond"/>
          <w:sz w:val="21"/>
          <w:szCs w:val="21"/>
        </w:rPr>
        <w:t>chegada</w:t>
      </w:r>
      <w:proofErr w:type="spellEnd"/>
      <w:r w:rsidRPr="004042AB">
        <w:rPr>
          <w:rFonts w:ascii="Garamond" w:hAnsi="Garamond"/>
          <w:sz w:val="21"/>
          <w:szCs w:val="21"/>
        </w:rPr>
        <w:t>.</w:t>
      </w:r>
    </w:p>
    <w:p w:rsidR="003D1DF5" w:rsidRPr="004042AB" w:rsidRDefault="003D1DF5" w:rsidP="003D1DF5">
      <w:pPr>
        <w:pStyle w:val="PargrafodaLista"/>
        <w:numPr>
          <w:ilvl w:val="0"/>
          <w:numId w:val="2"/>
        </w:numPr>
        <w:spacing w:after="0"/>
        <w:ind w:left="0" w:firstLine="709"/>
        <w:rPr>
          <w:rFonts w:ascii="Garamond" w:hAnsi="Garamond"/>
          <w:sz w:val="21"/>
          <w:szCs w:val="21"/>
        </w:rPr>
      </w:pPr>
      <w:r w:rsidRPr="004042AB">
        <w:rPr>
          <w:rFonts w:ascii="Garamond" w:hAnsi="Garamond"/>
          <w:sz w:val="21"/>
          <w:szCs w:val="21"/>
          <w:lang w:val="pt-PT"/>
        </w:rPr>
        <w:t xml:space="preserve">A tradução descritiva, dificuldade em encontrar uma formulação apropriada, curta e sem ambiguidade. </w:t>
      </w:r>
      <w:proofErr w:type="spellStart"/>
      <w:r w:rsidRPr="004042AB">
        <w:rPr>
          <w:rFonts w:ascii="Garamond" w:hAnsi="Garamond"/>
          <w:sz w:val="21"/>
          <w:szCs w:val="21"/>
        </w:rPr>
        <w:t>Privilegia</w:t>
      </w:r>
      <w:proofErr w:type="spellEnd"/>
      <w:r w:rsidRPr="004042AB">
        <w:rPr>
          <w:rFonts w:ascii="Garamond" w:hAnsi="Garamond"/>
          <w:sz w:val="21"/>
          <w:szCs w:val="21"/>
        </w:rPr>
        <w:t xml:space="preserve"> a </w:t>
      </w:r>
      <w:proofErr w:type="spellStart"/>
      <w:r w:rsidRPr="004042AB">
        <w:rPr>
          <w:rFonts w:ascii="Garamond" w:hAnsi="Garamond"/>
          <w:sz w:val="21"/>
          <w:szCs w:val="21"/>
        </w:rPr>
        <w:t>língua</w:t>
      </w:r>
      <w:proofErr w:type="spellEnd"/>
      <w:r w:rsidRPr="004042AB">
        <w:rPr>
          <w:rFonts w:ascii="Garamond" w:hAnsi="Garamond"/>
          <w:sz w:val="21"/>
          <w:szCs w:val="21"/>
        </w:rPr>
        <w:t xml:space="preserve"> de </w:t>
      </w:r>
      <w:proofErr w:type="spellStart"/>
      <w:r w:rsidRPr="004042AB">
        <w:rPr>
          <w:rFonts w:ascii="Garamond" w:hAnsi="Garamond"/>
          <w:sz w:val="21"/>
          <w:szCs w:val="21"/>
        </w:rPr>
        <w:t>chegada</w:t>
      </w:r>
      <w:proofErr w:type="spellEnd"/>
      <w:r w:rsidRPr="004042AB">
        <w:rPr>
          <w:rFonts w:ascii="Garamond" w:hAnsi="Garamond"/>
          <w:sz w:val="21"/>
          <w:szCs w:val="21"/>
        </w:rPr>
        <w:t>.</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Cada uma dessas opções apresenta vantagens e inconvenientes para a tradução. Nessa perspectiva, cabe ao tradutor a avaliação do grau de ambiguidade, de acessibilidade, de acuidade e de validade quanto aos efeitos jurídicos do texto produzido. Se a opção do </w:t>
      </w:r>
      <w:r w:rsidRPr="004042AB">
        <w:rPr>
          <w:rFonts w:ascii="Garamond" w:hAnsi="Garamond" w:cs="Times New Roman"/>
          <w:sz w:val="21"/>
          <w:szCs w:val="21"/>
        </w:rPr>
        <w:lastRenderedPageBreak/>
        <w:t>tradutor é o resultado de uma negociação prévia entre o tradutor e o seu cliente, surge a dúvida quanto ao facto de dever ser o juiz a escolher o tipo de tradução.</w:t>
      </w:r>
    </w:p>
    <w:p w:rsidR="003D1DF5" w:rsidRPr="004042AB" w:rsidRDefault="003D1DF5" w:rsidP="003D1DF5">
      <w:pPr>
        <w:pStyle w:val="PargrafodaLista"/>
        <w:ind w:left="0" w:firstLine="709"/>
        <w:rPr>
          <w:rFonts w:ascii="Garamond" w:hAnsi="Garamond"/>
          <w:sz w:val="21"/>
          <w:szCs w:val="21"/>
          <w:lang w:val="pt-PT"/>
        </w:rPr>
      </w:pPr>
      <w:r w:rsidRPr="004042AB">
        <w:rPr>
          <w:rFonts w:ascii="Garamond" w:hAnsi="Garamond"/>
          <w:sz w:val="21"/>
          <w:szCs w:val="21"/>
          <w:lang w:val="pt-PT"/>
        </w:rPr>
        <w:t xml:space="preserve">A questão, no fundo, é de saber se a tradução mantém ou deve manter os efeitos </w:t>
      </w:r>
      <w:proofErr w:type="spellStart"/>
      <w:r w:rsidRPr="004042AB">
        <w:rPr>
          <w:rFonts w:ascii="Garamond" w:hAnsi="Garamond"/>
          <w:sz w:val="21"/>
          <w:szCs w:val="21"/>
          <w:lang w:val="pt-PT"/>
        </w:rPr>
        <w:t>jurídicosdo</w:t>
      </w:r>
      <w:proofErr w:type="spellEnd"/>
      <w:r w:rsidRPr="004042AB">
        <w:rPr>
          <w:rFonts w:ascii="Garamond" w:hAnsi="Garamond"/>
          <w:sz w:val="21"/>
          <w:szCs w:val="21"/>
          <w:lang w:val="pt-PT"/>
        </w:rPr>
        <w:t xml:space="preserve"> texto original. Com esta jurisprudência, a </w:t>
      </w:r>
      <w:proofErr w:type="spellStart"/>
      <w:r w:rsidRPr="004042AB">
        <w:rPr>
          <w:rFonts w:ascii="Garamond" w:hAnsi="Garamond"/>
          <w:i/>
          <w:sz w:val="21"/>
          <w:szCs w:val="21"/>
          <w:lang w:val="pt-PT"/>
        </w:rPr>
        <w:t>Cour</w:t>
      </w:r>
      <w:proofErr w:type="spellEnd"/>
      <w:r w:rsidRPr="004042AB">
        <w:rPr>
          <w:rFonts w:ascii="Garamond" w:hAnsi="Garamond"/>
          <w:i/>
          <w:sz w:val="21"/>
          <w:szCs w:val="21"/>
          <w:lang w:val="pt-PT"/>
        </w:rPr>
        <w:t xml:space="preserve"> de </w:t>
      </w:r>
      <w:proofErr w:type="spellStart"/>
      <w:r w:rsidRPr="004042AB">
        <w:rPr>
          <w:rFonts w:ascii="Garamond" w:hAnsi="Garamond"/>
          <w:i/>
          <w:sz w:val="21"/>
          <w:szCs w:val="21"/>
          <w:lang w:val="pt-PT"/>
        </w:rPr>
        <w:t>cassation</w:t>
      </w:r>
      <w:proofErr w:type="spellEnd"/>
      <w:r w:rsidRPr="004042AB">
        <w:rPr>
          <w:rFonts w:ascii="Garamond" w:hAnsi="Garamond"/>
          <w:sz w:val="21"/>
          <w:szCs w:val="21"/>
          <w:lang w:val="pt-PT"/>
        </w:rPr>
        <w:t xml:space="preserve"> afasta o direito comparado da tradução nos tribunais. Em defesa da abordagem jurídica da tradução do direito, em 2007, </w:t>
      </w:r>
      <w:proofErr w:type="spellStart"/>
      <w:r w:rsidRPr="004042AB">
        <w:rPr>
          <w:rFonts w:ascii="Garamond" w:hAnsi="Garamond"/>
          <w:sz w:val="21"/>
          <w:szCs w:val="21"/>
          <w:lang w:val="pt-PT"/>
        </w:rPr>
        <w:t>Sieglinde</w:t>
      </w:r>
      <w:proofErr w:type="spellEnd"/>
      <w:r w:rsidRPr="004042AB">
        <w:rPr>
          <w:rFonts w:ascii="Garamond" w:hAnsi="Garamond"/>
          <w:sz w:val="21"/>
          <w:szCs w:val="21"/>
          <w:lang w:val="pt-PT"/>
        </w:rPr>
        <w:t xml:space="preserve"> </w:t>
      </w:r>
      <w:proofErr w:type="spellStart"/>
      <w:r w:rsidRPr="004042AB">
        <w:rPr>
          <w:rFonts w:ascii="Garamond" w:hAnsi="Garamond"/>
          <w:sz w:val="21"/>
          <w:szCs w:val="21"/>
          <w:lang w:val="pt-PT"/>
        </w:rPr>
        <w:t>Pommer</w:t>
      </w:r>
      <w:proofErr w:type="spellEnd"/>
      <w:r w:rsidRPr="004042AB">
        <w:rPr>
          <w:rFonts w:ascii="Garamond" w:hAnsi="Garamond"/>
          <w:sz w:val="21"/>
          <w:szCs w:val="21"/>
          <w:lang w:val="pt-PT"/>
        </w:rPr>
        <w:t xml:space="preserve"> publicou </w:t>
      </w:r>
      <w:proofErr w:type="spellStart"/>
      <w:r w:rsidRPr="004042AB">
        <w:rPr>
          <w:rFonts w:ascii="Garamond" w:hAnsi="Garamond"/>
          <w:i/>
          <w:sz w:val="21"/>
          <w:szCs w:val="21"/>
          <w:lang w:val="pt-PT"/>
        </w:rPr>
        <w:t>Droit</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comparé</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et</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traduction</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juridique</w:t>
      </w:r>
      <w:proofErr w:type="spellEnd"/>
      <w:r w:rsidRPr="004042AB">
        <w:rPr>
          <w:rFonts w:ascii="Garamond" w:hAnsi="Garamond"/>
          <w:i/>
          <w:sz w:val="21"/>
          <w:szCs w:val="21"/>
          <w:lang w:val="pt-PT"/>
        </w:rPr>
        <w:t xml:space="preserve"> – </w:t>
      </w:r>
      <w:proofErr w:type="spellStart"/>
      <w:r w:rsidRPr="004042AB">
        <w:rPr>
          <w:rFonts w:ascii="Garamond" w:hAnsi="Garamond"/>
          <w:i/>
          <w:sz w:val="21"/>
          <w:szCs w:val="21"/>
          <w:lang w:val="pt-PT"/>
        </w:rPr>
        <w:t>Réflexions</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jurilinguistiques</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sur</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les</w:t>
      </w:r>
      <w:proofErr w:type="spellEnd"/>
      <w:r w:rsidRPr="004042AB">
        <w:rPr>
          <w:rFonts w:ascii="Garamond" w:hAnsi="Garamond"/>
          <w:i/>
          <w:sz w:val="21"/>
          <w:szCs w:val="21"/>
          <w:lang w:val="pt-PT"/>
        </w:rPr>
        <w:t xml:space="preserve"> príncipes </w:t>
      </w:r>
      <w:proofErr w:type="spellStart"/>
      <w:r w:rsidRPr="004042AB">
        <w:rPr>
          <w:rFonts w:ascii="Garamond" w:hAnsi="Garamond"/>
          <w:i/>
          <w:sz w:val="21"/>
          <w:szCs w:val="21"/>
          <w:lang w:val="pt-PT"/>
        </w:rPr>
        <w:t>communs</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Actes</w:t>
      </w:r>
      <w:proofErr w:type="spellEnd"/>
      <w:r w:rsidRPr="004042AB">
        <w:rPr>
          <w:rFonts w:ascii="Garamond" w:hAnsi="Garamond"/>
          <w:i/>
          <w:sz w:val="21"/>
          <w:szCs w:val="21"/>
          <w:lang w:val="pt-PT"/>
        </w:rPr>
        <w:t xml:space="preserve"> de </w:t>
      </w:r>
      <w:proofErr w:type="spellStart"/>
      <w:r w:rsidRPr="004042AB">
        <w:rPr>
          <w:rFonts w:ascii="Garamond" w:hAnsi="Garamond"/>
          <w:i/>
          <w:sz w:val="21"/>
          <w:szCs w:val="21"/>
          <w:lang w:val="pt-PT"/>
        </w:rPr>
        <w:t>XXIes</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Journées</w:t>
      </w:r>
      <w:proofErr w:type="spellEnd"/>
      <w:r w:rsidRPr="004042AB">
        <w:rPr>
          <w:rFonts w:ascii="Garamond" w:hAnsi="Garamond"/>
          <w:i/>
          <w:sz w:val="21"/>
          <w:szCs w:val="21"/>
          <w:lang w:val="pt-PT"/>
        </w:rPr>
        <w:t xml:space="preserve"> de </w:t>
      </w:r>
      <w:proofErr w:type="spellStart"/>
      <w:r w:rsidRPr="004042AB">
        <w:rPr>
          <w:rFonts w:ascii="Garamond" w:hAnsi="Garamond"/>
          <w:i/>
          <w:sz w:val="21"/>
          <w:szCs w:val="21"/>
          <w:lang w:val="pt-PT"/>
        </w:rPr>
        <w:t>Linguistiques</w:t>
      </w:r>
      <w:proofErr w:type="spellEnd"/>
      <w:r w:rsidRPr="004042AB">
        <w:rPr>
          <w:rFonts w:ascii="Garamond" w:hAnsi="Garamond"/>
          <w:i/>
          <w:sz w:val="21"/>
          <w:szCs w:val="21"/>
          <w:lang w:val="pt-PT"/>
        </w:rPr>
        <w:t xml:space="preserve"> de </w:t>
      </w:r>
      <w:proofErr w:type="spellStart"/>
      <w:r w:rsidRPr="004042AB">
        <w:rPr>
          <w:rFonts w:ascii="Garamond" w:hAnsi="Garamond"/>
          <w:i/>
          <w:sz w:val="21"/>
          <w:szCs w:val="21"/>
          <w:lang w:val="pt-PT"/>
        </w:rPr>
        <w:t>l’Université</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Laval</w:t>
      </w:r>
      <w:proofErr w:type="spellEnd"/>
      <w:r w:rsidRPr="004042AB">
        <w:rPr>
          <w:rFonts w:ascii="Garamond" w:hAnsi="Garamond"/>
          <w:i/>
          <w:sz w:val="21"/>
          <w:szCs w:val="21"/>
          <w:lang w:val="pt-PT"/>
        </w:rPr>
        <w:t>, Québec</w:t>
      </w:r>
      <w:r w:rsidRPr="004042AB">
        <w:rPr>
          <w:rFonts w:ascii="Garamond" w:hAnsi="Garamond"/>
          <w:sz w:val="21"/>
          <w:szCs w:val="21"/>
        </w:rPr>
        <w:fldChar w:fldCharType="begin"/>
      </w:r>
      <w:r w:rsidRPr="004042AB">
        <w:rPr>
          <w:rFonts w:ascii="Garamond" w:hAnsi="Garamond"/>
          <w:sz w:val="21"/>
          <w:szCs w:val="21"/>
          <w:lang w:val="pt-PT"/>
        </w:rPr>
        <w:instrText xml:space="preserve"> ADDIN EN.CITE &lt;EndNote&gt;&lt;Cite&gt;&lt;Author&gt;Pommer&lt;/Author&gt;&lt;Year&gt;2008&lt;/Year&gt;&lt;RecNum&gt;205&lt;/RecNum&gt;&lt;DisplayText&gt;(Pommer 2008)&lt;/DisplayText&gt;&lt;record&gt;&lt;rec-number&gt;205&lt;/rec-number&gt;&lt;foreign-keys&gt;&lt;key app="EN" db-id="p5s5999xos95zvew2zpp5d0hfv0svxpede0e"&gt;205&lt;/key&gt;&lt;/foreign-keys&gt;&lt;ref-type name="Conference Paper"&gt;47&lt;/ref-type&gt;&lt;contributors&gt;&lt;authors&gt;&lt;author&gt;Sieglinde Pommer&lt;/author&gt;&lt;/authors&gt;&lt;/contributors&gt;&lt;titles&gt;&lt;title&gt;Les Journées de Linguistique. ACTES DU XXIe COLLOQUE&amp;#xD;8-9 mars 2007&lt;/title&gt;&lt;/titles&gt;&lt;dates&gt;&lt;year&gt;2008&lt;/year&gt;&lt;/dates&gt;&lt;pub-location&gt;Université Laval, Québec&lt;/pub-location&gt;&lt;urls&gt;&lt;/urls&gt;&lt;access-date&gt;26/09/2013&lt;/access-date&gt;&lt;/record&gt;&lt;/Cite&gt;&lt;/EndNote&gt;</w:instrText>
      </w:r>
      <w:r w:rsidRPr="004042AB">
        <w:rPr>
          <w:rFonts w:ascii="Garamond" w:hAnsi="Garamond"/>
          <w:sz w:val="21"/>
          <w:szCs w:val="21"/>
        </w:rPr>
        <w:fldChar w:fldCharType="separate"/>
      </w:r>
      <w:r w:rsidRPr="004042AB">
        <w:rPr>
          <w:rFonts w:ascii="Garamond" w:hAnsi="Garamond"/>
          <w:noProof/>
          <w:sz w:val="21"/>
          <w:szCs w:val="21"/>
          <w:lang w:val="pt-PT"/>
        </w:rPr>
        <w:t>(</w:t>
      </w:r>
      <w:hyperlink w:anchor="_ENREF_12" w:tooltip="Pommer, 2008 #205" w:history="1">
        <w:r w:rsidRPr="004042AB">
          <w:rPr>
            <w:rFonts w:ascii="Garamond" w:hAnsi="Garamond"/>
            <w:noProof/>
            <w:sz w:val="21"/>
            <w:szCs w:val="21"/>
            <w:lang w:val="pt-PT"/>
          </w:rPr>
          <w:t>Pommer 2008</w:t>
        </w:r>
      </w:hyperlink>
      <w:r w:rsidRPr="004042AB">
        <w:rPr>
          <w:rFonts w:ascii="Garamond" w:hAnsi="Garamond"/>
          <w:noProof/>
          <w:sz w:val="21"/>
          <w:szCs w:val="21"/>
          <w:lang w:val="pt-PT"/>
        </w:rPr>
        <w:t>)</w:t>
      </w:r>
      <w:r w:rsidRPr="004042AB">
        <w:rPr>
          <w:rFonts w:ascii="Garamond" w:hAnsi="Garamond"/>
          <w:sz w:val="21"/>
          <w:szCs w:val="21"/>
        </w:rPr>
        <w:fldChar w:fldCharType="end"/>
      </w:r>
      <w:r w:rsidRPr="004042AB">
        <w:rPr>
          <w:rFonts w:ascii="Garamond" w:hAnsi="Garamond"/>
          <w:sz w:val="21"/>
          <w:szCs w:val="21"/>
          <w:lang w:val="pt-PT"/>
        </w:rPr>
        <w:t xml:space="preserve">, onde sublinha </w:t>
      </w:r>
      <w:proofErr w:type="gramStart"/>
      <w:r w:rsidRPr="004042AB">
        <w:rPr>
          <w:rFonts w:ascii="Garamond" w:hAnsi="Garamond"/>
          <w:sz w:val="21"/>
          <w:szCs w:val="21"/>
          <w:lang w:val="pt-PT"/>
        </w:rPr>
        <w:t>que</w:t>
      </w:r>
      <w:proofErr w:type="gramEnd"/>
      <w:r w:rsidRPr="004042AB">
        <w:rPr>
          <w:rFonts w:ascii="Garamond" w:hAnsi="Garamond"/>
          <w:sz w:val="21"/>
          <w:szCs w:val="21"/>
          <w:lang w:val="pt-PT"/>
        </w:rPr>
        <w:t xml:space="preserve"> </w:t>
      </w:r>
    </w:p>
    <w:p w:rsidR="003D1DF5" w:rsidRPr="00DD5C25" w:rsidRDefault="003D1DF5" w:rsidP="003D1DF5">
      <w:pPr>
        <w:pStyle w:val="PargrafodaLista"/>
        <w:ind w:left="0"/>
        <w:rPr>
          <w:rFonts w:ascii="Garamond" w:hAnsi="Garamond"/>
          <w:sz w:val="16"/>
          <w:szCs w:val="16"/>
          <w:lang w:val="pt-PT"/>
        </w:rPr>
      </w:pPr>
    </w:p>
    <w:p w:rsidR="003D1DF5" w:rsidRPr="004042AB" w:rsidRDefault="003D1DF5" w:rsidP="003D1DF5">
      <w:pPr>
        <w:pStyle w:val="PargrafodaLista"/>
        <w:ind w:left="567" w:right="567"/>
        <w:rPr>
          <w:rFonts w:ascii="Garamond" w:hAnsi="Garamond"/>
          <w:i/>
          <w:sz w:val="21"/>
          <w:szCs w:val="21"/>
          <w:lang w:val="fr-FR"/>
        </w:rPr>
      </w:pPr>
      <w:r w:rsidRPr="004042AB">
        <w:rPr>
          <w:rFonts w:ascii="Garamond" w:hAnsi="Garamond"/>
          <w:sz w:val="21"/>
          <w:szCs w:val="21"/>
          <w:lang w:val="fr-FR"/>
        </w:rPr>
        <w:t>“</w:t>
      </w:r>
      <w:r w:rsidRPr="004042AB">
        <w:rPr>
          <w:rFonts w:ascii="Garamond" w:hAnsi="Garamond"/>
          <w:i/>
          <w:sz w:val="21"/>
          <w:szCs w:val="21"/>
          <w:lang w:val="fr-FR"/>
        </w:rPr>
        <w:t xml:space="preserve">bien que beaucoup ait été écrit sur l’interrelation entre la langue et le droit par des linguistes ainsi que des juristes, pas assez d’attention a été consacrée aux implications, multiples et complexes, entre la traduction juridique et le droit comparé, ni en théorie ni en pratique”. </w:t>
      </w:r>
    </w:p>
    <w:p w:rsidR="003D1DF5" w:rsidRPr="00DD5C25" w:rsidRDefault="003D1DF5" w:rsidP="003D1DF5">
      <w:pPr>
        <w:pStyle w:val="PargrafodaLista"/>
        <w:ind w:left="851" w:right="424" w:firstLine="0"/>
        <w:rPr>
          <w:rFonts w:ascii="Garamond" w:hAnsi="Garamond"/>
          <w:i/>
          <w:sz w:val="16"/>
          <w:szCs w:val="16"/>
          <w:lang w:val="fr-FR"/>
        </w:rPr>
      </w:pPr>
    </w:p>
    <w:p w:rsidR="003D1DF5" w:rsidRPr="004042AB" w:rsidRDefault="003D1DF5" w:rsidP="003D1DF5">
      <w:pPr>
        <w:pStyle w:val="PargrafodaLista"/>
        <w:spacing w:after="0"/>
        <w:ind w:left="0" w:firstLine="709"/>
        <w:rPr>
          <w:rFonts w:ascii="Garamond" w:hAnsi="Garamond"/>
          <w:sz w:val="21"/>
          <w:szCs w:val="21"/>
          <w:lang w:val="pt-PT"/>
        </w:rPr>
      </w:pPr>
      <w:r w:rsidRPr="004042AB">
        <w:rPr>
          <w:rFonts w:ascii="Garamond" w:hAnsi="Garamond"/>
          <w:sz w:val="21"/>
          <w:szCs w:val="21"/>
          <w:lang w:val="pt-PT"/>
        </w:rPr>
        <w:t>A autora evidencia a interdisciplinaridade e complementaridade das duas áreas, o direito e a tradução, dizendo que “</w:t>
      </w:r>
      <w:proofErr w:type="spellStart"/>
      <w:r w:rsidRPr="004042AB">
        <w:rPr>
          <w:rFonts w:ascii="Garamond" w:hAnsi="Garamond"/>
          <w:i/>
          <w:sz w:val="21"/>
          <w:szCs w:val="21"/>
          <w:lang w:val="pt-PT"/>
        </w:rPr>
        <w:t>Le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traducteur</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dit</w:t>
      </w:r>
      <w:proofErr w:type="spellEnd"/>
      <w:r w:rsidRPr="004042AB">
        <w:rPr>
          <w:rFonts w:ascii="Garamond" w:hAnsi="Garamond"/>
          <w:i/>
          <w:sz w:val="21"/>
          <w:szCs w:val="21"/>
          <w:lang w:val="pt-PT"/>
        </w:rPr>
        <w:t xml:space="preserve"> la </w:t>
      </w:r>
      <w:proofErr w:type="spellStart"/>
      <w:r w:rsidRPr="004042AB">
        <w:rPr>
          <w:rFonts w:ascii="Garamond" w:hAnsi="Garamond"/>
          <w:i/>
          <w:sz w:val="21"/>
          <w:szCs w:val="21"/>
          <w:lang w:val="pt-PT"/>
        </w:rPr>
        <w:t>lettre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du</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texte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et</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le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juriste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comparatiste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dit</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le</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champ</w:t>
      </w:r>
      <w:proofErr w:type="spellEnd"/>
      <w:r w:rsidRPr="004042AB">
        <w:rPr>
          <w:rFonts w:ascii="Garamond" w:hAnsi="Garamond"/>
          <w:i/>
          <w:sz w:val="21"/>
          <w:szCs w:val="21"/>
          <w:lang w:val="pt-PT"/>
        </w:rPr>
        <w:t xml:space="preserve"> de la </w:t>
      </w:r>
      <w:proofErr w:type="spellStart"/>
      <w:r w:rsidRPr="004042AB">
        <w:rPr>
          <w:rFonts w:ascii="Garamond" w:hAnsi="Garamond"/>
          <w:i/>
          <w:sz w:val="21"/>
          <w:szCs w:val="21"/>
          <w:lang w:val="pt-PT"/>
        </w:rPr>
        <w:t>comparaison</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du</w:t>
      </w:r>
      <w:proofErr w:type="spellEnd"/>
      <w:r w:rsidRPr="004042AB">
        <w:rPr>
          <w:rFonts w:ascii="Garamond" w:hAnsi="Garamond"/>
          <w:i/>
          <w:sz w:val="21"/>
          <w:szCs w:val="21"/>
          <w:lang w:val="pt-PT"/>
        </w:rPr>
        <w:t xml:space="preserve"> </w:t>
      </w:r>
      <w:proofErr w:type="spellStart"/>
      <w:r w:rsidRPr="004042AB">
        <w:rPr>
          <w:rFonts w:ascii="Garamond" w:hAnsi="Garamond"/>
          <w:i/>
          <w:sz w:val="21"/>
          <w:szCs w:val="21"/>
          <w:lang w:val="pt-PT"/>
        </w:rPr>
        <w:t>droit</w:t>
      </w:r>
      <w:proofErr w:type="spellEnd"/>
      <w:r w:rsidRPr="004042AB">
        <w:rPr>
          <w:rFonts w:ascii="Garamond" w:hAnsi="Garamond"/>
          <w:i/>
          <w:sz w:val="21"/>
          <w:szCs w:val="21"/>
          <w:lang w:val="pt-PT"/>
        </w:rPr>
        <w:t>”.</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 xml:space="preserve">Resta saber de que </w:t>
      </w:r>
      <w:proofErr w:type="gramStart"/>
      <w:r w:rsidRPr="004042AB">
        <w:rPr>
          <w:rFonts w:ascii="Garamond" w:hAnsi="Garamond" w:cs="Times New Roman"/>
          <w:sz w:val="21"/>
          <w:szCs w:val="21"/>
        </w:rPr>
        <w:t>modo será aplicada</w:t>
      </w:r>
      <w:proofErr w:type="gramEnd"/>
      <w:r w:rsidRPr="004042AB">
        <w:rPr>
          <w:rFonts w:ascii="Garamond" w:hAnsi="Garamond" w:cs="Times New Roman"/>
          <w:sz w:val="21"/>
          <w:szCs w:val="21"/>
        </w:rPr>
        <w:t xml:space="preserve"> a Directiva europeia relativa ao direito à interpretação e tradução 2010/64/EU</w:t>
      </w:r>
      <w:r w:rsidRPr="004042AB">
        <w:rPr>
          <w:rFonts w:ascii="Garamond" w:hAnsi="Garamond" w:cs="Times New Roman"/>
          <w:sz w:val="21"/>
          <w:szCs w:val="21"/>
        </w:rPr>
        <w:fldChar w:fldCharType="begin"/>
      </w:r>
      <w:r w:rsidRPr="004042AB">
        <w:rPr>
          <w:rFonts w:ascii="Garamond" w:hAnsi="Garamond" w:cs="Times New Roman"/>
          <w:sz w:val="21"/>
          <w:szCs w:val="21"/>
        </w:rPr>
        <w:instrText xml:space="preserve"> ADDIN EN.CITE &lt;EndNote&gt;&lt;Cite&gt;&lt;Author&gt;European Parliament&lt;/Author&gt;&lt;Year&gt;2010&lt;/Year&gt;&lt;RecNum&gt;169&lt;/RecNum&gt;&lt;DisplayText&gt;(European Parliament and Council 2010)&lt;/DisplayText&gt;&lt;record&gt;&lt;rec-number&gt;169&lt;/rec-number&gt;&lt;foreign-keys&gt;&lt;key app="EN" db-id="p5s5999xos95zvew2zpp5d0hfv0svxpede0e"&gt;169&lt;/key&gt;&lt;/foreign-keys&gt;&lt;ref-type name="Legal Rule or Regulation"&gt;50&lt;/ref-type&gt;&lt;contributors&gt;&lt;authors&gt;&lt;author&gt;European Parliament, &lt;/author&gt;&lt;author&gt;Council, &lt;/author&gt;&lt;/authors&gt;&lt;secondary-authors&gt;&lt;author&gt;European Union&lt;/author&gt;&lt;/secondary-authors&gt;&lt;/contributors&gt;&lt;titles&gt;&lt;title&gt;Directive on the Right to Interpretation and Translation in Criminal Proceedings&lt;/title&gt;&lt;secondary-title&gt;2010/64/EU&lt;/secondary-title&gt;&lt;/titles&gt;&lt;dates&gt;&lt;year&gt;2010&lt;/year&gt;&lt;/dates&gt;&lt;urls&gt;&lt;related-urls&gt;&lt;url&gt;http://eur-lex.europa.eu/LexUriServ/LexUriServ.do?uri=OJ:L:2010:280:0001:0007:EN:PDF&lt;/url&gt;&lt;/related-urls&gt;&lt;/urls&gt;&lt;/record&gt;&lt;/Cite&gt;&lt;/EndNote&gt;</w:instrText>
      </w:r>
      <w:r w:rsidRPr="004042AB">
        <w:rPr>
          <w:rFonts w:ascii="Garamond" w:hAnsi="Garamond" w:cs="Times New Roman"/>
          <w:sz w:val="21"/>
          <w:szCs w:val="21"/>
        </w:rPr>
        <w:fldChar w:fldCharType="separate"/>
      </w:r>
      <w:r w:rsidRPr="004042AB">
        <w:rPr>
          <w:rFonts w:ascii="Garamond" w:hAnsi="Garamond" w:cs="Times New Roman"/>
          <w:noProof/>
          <w:sz w:val="21"/>
          <w:szCs w:val="21"/>
        </w:rPr>
        <w:t>(</w:t>
      </w:r>
      <w:hyperlink w:anchor="_ENREF_9" w:tooltip="European Parliament, 2010 #169" w:history="1">
        <w:r w:rsidRPr="004042AB">
          <w:rPr>
            <w:rFonts w:ascii="Garamond" w:hAnsi="Garamond" w:cs="Times New Roman"/>
            <w:noProof/>
            <w:sz w:val="21"/>
            <w:szCs w:val="21"/>
          </w:rPr>
          <w:t>European Parliament and Council 2010</w:t>
        </w:r>
      </w:hyperlink>
      <w:r w:rsidRPr="004042AB">
        <w:rPr>
          <w:rFonts w:ascii="Garamond" w:hAnsi="Garamond" w:cs="Times New Roman"/>
          <w:noProof/>
          <w:sz w:val="21"/>
          <w:szCs w:val="21"/>
        </w:rPr>
        <w:t>)</w:t>
      </w:r>
      <w:r w:rsidRPr="004042AB">
        <w:rPr>
          <w:rFonts w:ascii="Garamond" w:hAnsi="Garamond" w:cs="Times New Roman"/>
          <w:sz w:val="21"/>
          <w:szCs w:val="21"/>
        </w:rPr>
        <w:fldChar w:fldCharType="end"/>
      </w:r>
      <w:r w:rsidRPr="004042AB">
        <w:rPr>
          <w:rFonts w:ascii="Garamond" w:hAnsi="Garamond" w:cs="Times New Roman"/>
          <w:sz w:val="21"/>
          <w:szCs w:val="21"/>
        </w:rPr>
        <w:t>de20/10/2010, que visa o carácter equitativo do processo penal. Segundo a Directiva, os serviços de interpretação e de tradução são, e devem ser, um dos instrumentos para aplicação, reconhecimento e garantia do direito, no âmbito processual penal, de o arguido se expressar, ser informado e se defender na língua materna.</w:t>
      </w:r>
    </w:p>
    <w:p w:rsidR="003D1DF5" w:rsidRPr="004042AB" w:rsidRDefault="003D1DF5" w:rsidP="003D1DF5">
      <w:pPr>
        <w:ind w:firstLine="709"/>
        <w:jc w:val="both"/>
        <w:rPr>
          <w:rFonts w:ascii="Garamond" w:hAnsi="Garamond" w:cs="Times New Roman"/>
          <w:sz w:val="21"/>
          <w:szCs w:val="21"/>
        </w:rPr>
      </w:pPr>
      <w:r w:rsidRPr="004042AB">
        <w:rPr>
          <w:rFonts w:ascii="Garamond" w:hAnsi="Garamond" w:cs="Times New Roman"/>
          <w:sz w:val="21"/>
          <w:szCs w:val="21"/>
        </w:rPr>
        <w:t>No art.º. 5º, a Directiva insista na garantia de qualidade da interpretação e da tradução e no art.º 6º na necessidade de formação a dar a juízes, magistrados e funcionários judiciais para optimizarem a comunicação com a assistência de um intérprete no âmbito do processo penal.</w:t>
      </w:r>
    </w:p>
    <w:p w:rsidR="003D1DF5" w:rsidRPr="004042AB" w:rsidRDefault="003D1DF5" w:rsidP="003D1DF5">
      <w:pPr>
        <w:pStyle w:val="NormalWeb"/>
        <w:spacing w:before="0" w:after="0" w:line="360" w:lineRule="auto"/>
        <w:ind w:firstLine="709"/>
        <w:jc w:val="both"/>
        <w:rPr>
          <w:rFonts w:ascii="Garamond" w:hAnsi="Garamond"/>
          <w:sz w:val="21"/>
          <w:szCs w:val="21"/>
        </w:rPr>
      </w:pPr>
      <w:r w:rsidRPr="004042AB">
        <w:rPr>
          <w:rFonts w:ascii="Garamond" w:eastAsiaTheme="minorHAnsi" w:hAnsi="Garamond"/>
          <w:sz w:val="21"/>
          <w:szCs w:val="21"/>
          <w:lang w:eastAsia="en-US"/>
        </w:rPr>
        <w:t xml:space="preserve">Em França, </w:t>
      </w:r>
      <w:r w:rsidRPr="004042AB">
        <w:rPr>
          <w:rFonts w:ascii="Garamond" w:hAnsi="Garamond"/>
          <w:sz w:val="21"/>
          <w:szCs w:val="21"/>
        </w:rPr>
        <w:t xml:space="preserve">a lei de transposição da Directiva, de 05/08/2013 </w:t>
      </w:r>
      <w:r w:rsidRPr="004042AB">
        <w:rPr>
          <w:rFonts w:ascii="Garamond" w:hAnsi="Garamond"/>
          <w:sz w:val="21"/>
          <w:szCs w:val="21"/>
        </w:rPr>
        <w:fldChar w:fldCharType="begin"/>
      </w:r>
      <w:r w:rsidRPr="004042AB">
        <w:rPr>
          <w:rFonts w:ascii="Garamond" w:hAnsi="Garamond"/>
          <w:sz w:val="21"/>
          <w:szCs w:val="21"/>
        </w:rPr>
        <w:instrText xml:space="preserve"> ADDIN EN.CITE &lt;EndNote&gt;&lt;Cite&gt;&lt;Year&gt;2013&lt;/Year&gt;&lt;RecNum&gt;206&lt;/RecNum&gt;&lt;DisplayText&gt;(2013)&lt;/DisplayText&gt;&lt;record&gt;&lt;rec-number&gt;206&lt;/rec-number&gt;&lt;foreign-keys&gt;&lt;key app="EN" db-id="p5s5999xos95zvew2zpp5d0hfv0svxpede0e"&gt;206&lt;/key&gt;&lt;/foreign-keys&gt;&lt;ref-type name="Legal Rule or Regulation"&gt;50&lt;/ref-type&gt;&lt;contributors&gt;&lt;/contributors&gt;&lt;titles&gt;&lt;title&gt;LOI n° 2013-711 du 5 août 2013 portant diverses dispositions d&amp;apos;adaptation dans le domaine de la justice en application du droit de l&amp;apos;Union européenne et des engagements internationaux de la France&lt;/title&gt;&lt;/titles&gt;&lt;dates&gt;&lt;year&gt;2013&lt;/year&gt;&lt;/dates&gt;&lt;urls&gt;&lt;related-urls&gt;&lt;url&gt;http://www.legifrance.gouv.fr/affichLoiPubliee.do;jsessionid=F994BACC20FC050E23DD22CAD87881D5.tpdjo15v_1?idDocument=JORFDOLE000027091970&amp;amp;type=expose&lt;/url&gt;&lt;/related-urls&gt;&lt;/urls&gt;&lt;access-date&gt;26/09/2013&lt;/access-date&gt;&lt;/record&gt;&lt;/Cite&gt;&lt;/EndNote&gt;</w:instrText>
      </w:r>
      <w:r w:rsidRPr="004042AB">
        <w:rPr>
          <w:rFonts w:ascii="Garamond" w:hAnsi="Garamond"/>
          <w:sz w:val="21"/>
          <w:szCs w:val="21"/>
        </w:rPr>
        <w:fldChar w:fldCharType="separate"/>
      </w:r>
      <w:r w:rsidRPr="004042AB">
        <w:rPr>
          <w:rFonts w:ascii="Garamond" w:hAnsi="Garamond"/>
          <w:noProof/>
          <w:sz w:val="21"/>
          <w:szCs w:val="21"/>
        </w:rPr>
        <w:t>(</w:t>
      </w:r>
      <w:hyperlink w:anchor="_ENREF_7" w:tooltip=", 2013 #206" w:history="1">
        <w:r w:rsidRPr="004042AB">
          <w:rPr>
            <w:rFonts w:ascii="Garamond" w:hAnsi="Garamond"/>
            <w:noProof/>
            <w:sz w:val="21"/>
            <w:szCs w:val="21"/>
          </w:rPr>
          <w:t>2013</w:t>
        </w:r>
      </w:hyperlink>
      <w:r w:rsidRPr="004042AB">
        <w:rPr>
          <w:rFonts w:ascii="Garamond" w:hAnsi="Garamond"/>
          <w:noProof/>
          <w:sz w:val="21"/>
          <w:szCs w:val="21"/>
        </w:rPr>
        <w:t>)</w:t>
      </w:r>
      <w:r w:rsidRPr="004042AB">
        <w:rPr>
          <w:rFonts w:ascii="Garamond" w:hAnsi="Garamond"/>
          <w:sz w:val="21"/>
          <w:szCs w:val="21"/>
        </w:rPr>
        <w:fldChar w:fldCharType="end"/>
      </w:r>
      <w:r w:rsidRPr="004042AB">
        <w:rPr>
          <w:rFonts w:ascii="Garamond" w:hAnsi="Garamond"/>
          <w:sz w:val="21"/>
          <w:szCs w:val="21"/>
        </w:rPr>
        <w:t xml:space="preserve">, confirma no artigo 3-º que a obrigação de interpretação já existe no código de processo penal francês. Em relação ao direito à tradução dos documentos essenciais ao processo, não figura expressamente no código de processo penal mas o seu princípio já foi consagrado por várias vezes pela </w:t>
      </w:r>
      <w:r w:rsidRPr="004042AB">
        <w:rPr>
          <w:rFonts w:ascii="Garamond" w:hAnsi="Garamond"/>
          <w:i/>
          <w:sz w:val="21"/>
          <w:szCs w:val="21"/>
        </w:rPr>
        <w:t xml:space="preserve">Court de </w:t>
      </w:r>
      <w:proofErr w:type="spellStart"/>
      <w:r w:rsidRPr="004042AB">
        <w:rPr>
          <w:rFonts w:ascii="Garamond" w:hAnsi="Garamond"/>
          <w:i/>
          <w:sz w:val="21"/>
          <w:szCs w:val="21"/>
        </w:rPr>
        <w:t>cassation</w:t>
      </w:r>
      <w:proofErr w:type="spellEnd"/>
      <w:r w:rsidRPr="004042AB">
        <w:rPr>
          <w:rFonts w:ascii="Garamond" w:hAnsi="Garamond"/>
          <w:i/>
          <w:sz w:val="21"/>
          <w:szCs w:val="21"/>
        </w:rPr>
        <w:t>.</w:t>
      </w:r>
      <w:r w:rsidRPr="004042AB">
        <w:rPr>
          <w:rFonts w:ascii="Garamond" w:hAnsi="Garamond"/>
          <w:sz w:val="21"/>
          <w:szCs w:val="21"/>
        </w:rPr>
        <w:t xml:space="preserve"> Para além disso, o número 1 do mesmo preceito </w:t>
      </w:r>
      <w:r w:rsidRPr="004042AB">
        <w:rPr>
          <w:rFonts w:ascii="Garamond" w:hAnsi="Garamond"/>
          <w:sz w:val="21"/>
          <w:szCs w:val="21"/>
        </w:rPr>
        <w:lastRenderedPageBreak/>
        <w:t>sublinha a relevância do critério de qualidade evidenciado na Directiva e que obriga o Estado a tomar medidas concretas para assegurar todas as condições e para garantir a qualidade da interpretação e da tradução e, consequentemente, garantir a equidade do processo: “</w:t>
      </w:r>
      <w:proofErr w:type="spellStart"/>
      <w:r w:rsidRPr="004042AB">
        <w:rPr>
          <w:rFonts w:ascii="Garamond" w:hAnsi="Garamond"/>
          <w:i/>
          <w:sz w:val="21"/>
          <w:szCs w:val="21"/>
        </w:rPr>
        <w:t>Veiller</w:t>
      </w:r>
      <w:proofErr w:type="spellEnd"/>
      <w:r w:rsidRPr="004042AB">
        <w:rPr>
          <w:rFonts w:ascii="Garamond" w:hAnsi="Garamond"/>
          <w:i/>
          <w:sz w:val="21"/>
          <w:szCs w:val="21"/>
        </w:rPr>
        <w:t xml:space="preserve"> à la </w:t>
      </w:r>
      <w:proofErr w:type="spellStart"/>
      <w:r w:rsidRPr="004042AB">
        <w:rPr>
          <w:rFonts w:ascii="Garamond" w:hAnsi="Garamond"/>
          <w:i/>
          <w:sz w:val="21"/>
          <w:szCs w:val="21"/>
        </w:rPr>
        <w:t>bonne</w:t>
      </w:r>
      <w:proofErr w:type="spellEnd"/>
      <w:r w:rsidRPr="004042AB">
        <w:rPr>
          <w:rFonts w:ascii="Garamond" w:hAnsi="Garamond"/>
          <w:i/>
          <w:sz w:val="21"/>
          <w:szCs w:val="21"/>
        </w:rPr>
        <w:t xml:space="preserve"> </w:t>
      </w:r>
      <w:proofErr w:type="spellStart"/>
      <w:r w:rsidRPr="004042AB">
        <w:rPr>
          <w:rFonts w:ascii="Garamond" w:hAnsi="Garamond"/>
          <w:i/>
          <w:sz w:val="21"/>
          <w:szCs w:val="21"/>
        </w:rPr>
        <w:t>qualité</w:t>
      </w:r>
      <w:proofErr w:type="spellEnd"/>
      <w:r w:rsidRPr="004042AB">
        <w:rPr>
          <w:rFonts w:ascii="Garamond" w:hAnsi="Garamond"/>
          <w:i/>
          <w:sz w:val="21"/>
          <w:szCs w:val="21"/>
        </w:rPr>
        <w:t xml:space="preserve"> de </w:t>
      </w:r>
      <w:proofErr w:type="spellStart"/>
      <w:r w:rsidRPr="004042AB">
        <w:rPr>
          <w:rFonts w:ascii="Garamond" w:hAnsi="Garamond"/>
          <w:i/>
          <w:sz w:val="21"/>
          <w:szCs w:val="21"/>
        </w:rPr>
        <w:t>l’interprétation</w:t>
      </w:r>
      <w:proofErr w:type="spellEnd"/>
      <w:r w:rsidRPr="004042AB">
        <w:rPr>
          <w:rFonts w:ascii="Garamond" w:hAnsi="Garamond"/>
          <w:i/>
          <w:sz w:val="21"/>
          <w:szCs w:val="21"/>
        </w:rPr>
        <w:t xml:space="preserve"> </w:t>
      </w:r>
      <w:proofErr w:type="spellStart"/>
      <w:r w:rsidRPr="004042AB">
        <w:rPr>
          <w:rFonts w:ascii="Garamond" w:hAnsi="Garamond"/>
          <w:i/>
          <w:sz w:val="21"/>
          <w:szCs w:val="21"/>
        </w:rPr>
        <w:t>et</w:t>
      </w:r>
      <w:proofErr w:type="spellEnd"/>
      <w:r w:rsidRPr="004042AB">
        <w:rPr>
          <w:rFonts w:ascii="Garamond" w:hAnsi="Garamond"/>
          <w:i/>
          <w:sz w:val="21"/>
          <w:szCs w:val="21"/>
        </w:rPr>
        <w:t xml:space="preserve"> de la </w:t>
      </w:r>
      <w:proofErr w:type="spellStart"/>
      <w:r w:rsidRPr="004042AB">
        <w:rPr>
          <w:rFonts w:ascii="Garamond" w:hAnsi="Garamond"/>
          <w:i/>
          <w:sz w:val="21"/>
          <w:szCs w:val="21"/>
        </w:rPr>
        <w:t>traduction</w:t>
      </w:r>
      <w:proofErr w:type="spellEnd"/>
      <w:r w:rsidRPr="004042AB">
        <w:rPr>
          <w:rFonts w:ascii="Garamond" w:hAnsi="Garamond"/>
          <w:i/>
          <w:sz w:val="21"/>
          <w:szCs w:val="21"/>
        </w:rPr>
        <w:t xml:space="preserve">”. </w:t>
      </w:r>
      <w:r w:rsidRPr="004042AB">
        <w:rPr>
          <w:rFonts w:ascii="Garamond" w:hAnsi="Garamond"/>
          <w:sz w:val="21"/>
          <w:szCs w:val="21"/>
        </w:rPr>
        <w:t>No número 2 do art.º 3.º, o legislador confirma que existem nos tribunais franceses todas as condições necessárias para respeitar os requisitos de qualidade na interpretação e na tradução, nomeadamente desde a publicação da lei de 21 de Fevereiro de 2004</w:t>
      </w:r>
      <w:r w:rsidRPr="004042AB">
        <w:rPr>
          <w:rStyle w:val="Refdenotaderodap"/>
          <w:rFonts w:ascii="Garamond" w:hAnsi="Garamond"/>
          <w:sz w:val="21"/>
          <w:szCs w:val="21"/>
        </w:rPr>
        <w:footnoteReference w:id="1"/>
      </w:r>
      <w:r w:rsidRPr="004042AB">
        <w:rPr>
          <w:rFonts w:ascii="Garamond" w:hAnsi="Garamond"/>
          <w:sz w:val="21"/>
          <w:szCs w:val="21"/>
        </w:rPr>
        <w:t xml:space="preserve"> que reforçou as exigências em matéria de peritagem no âmbito dos tribunais em França através de uma selecção criteriosa dos peritos em função do seu currículo profissional e de uma maior acessibilidade e flexibilidade das listas de peritos junto dos tribunais. </w:t>
      </w:r>
    </w:p>
    <w:p w:rsidR="003D1DF5" w:rsidRPr="004042AB" w:rsidRDefault="003D1DF5" w:rsidP="003D1DF5">
      <w:pPr>
        <w:pStyle w:val="NormalWeb"/>
        <w:spacing w:before="0" w:after="0" w:line="360" w:lineRule="auto"/>
        <w:ind w:firstLine="709"/>
        <w:jc w:val="both"/>
        <w:rPr>
          <w:rFonts w:ascii="Garamond" w:hAnsi="Garamond"/>
          <w:sz w:val="21"/>
          <w:szCs w:val="21"/>
        </w:rPr>
      </w:pPr>
      <w:r w:rsidRPr="004042AB">
        <w:rPr>
          <w:rFonts w:ascii="Garamond" w:hAnsi="Garamond"/>
          <w:sz w:val="21"/>
          <w:szCs w:val="21"/>
        </w:rPr>
        <w:t>Falta comprovar se a opção pela tradução literal assegura, ou não, a “garantia de qualidade” exigida pela Directiva. Pelas razões expostas ao longo do presente trabalho, acreditamos que a resposta só poderá ser negativa.</w:t>
      </w:r>
    </w:p>
    <w:p w:rsidR="003D1DF5" w:rsidRDefault="003D1DF5" w:rsidP="003D1DF5">
      <w:pPr>
        <w:pStyle w:val="NormalWeb"/>
        <w:spacing w:before="0" w:after="0" w:line="360" w:lineRule="auto"/>
        <w:ind w:firstLine="284"/>
        <w:jc w:val="both"/>
        <w:rPr>
          <w:rFonts w:ascii="Garamond" w:hAnsi="Garamond"/>
          <w:b/>
          <w:sz w:val="21"/>
          <w:szCs w:val="21"/>
        </w:rPr>
      </w:pPr>
    </w:p>
    <w:p w:rsidR="003D1DF5" w:rsidRDefault="003D1DF5" w:rsidP="003D1DF5">
      <w:pPr>
        <w:pStyle w:val="NormalWeb"/>
        <w:spacing w:before="0" w:after="0" w:line="360" w:lineRule="auto"/>
        <w:ind w:firstLine="284"/>
        <w:jc w:val="both"/>
        <w:rPr>
          <w:rFonts w:ascii="Garamond" w:hAnsi="Garamond"/>
          <w:b/>
          <w:sz w:val="21"/>
          <w:szCs w:val="21"/>
        </w:rPr>
      </w:pPr>
    </w:p>
    <w:p w:rsidR="003D1DF5" w:rsidRDefault="003D1DF5" w:rsidP="003D1DF5">
      <w:pPr>
        <w:pStyle w:val="NormalWeb"/>
        <w:spacing w:before="0" w:after="0" w:line="360" w:lineRule="auto"/>
        <w:ind w:firstLine="284"/>
        <w:jc w:val="both"/>
        <w:rPr>
          <w:rFonts w:ascii="Garamond" w:hAnsi="Garamond"/>
          <w:b/>
          <w:sz w:val="21"/>
          <w:szCs w:val="21"/>
        </w:rPr>
      </w:pPr>
    </w:p>
    <w:p w:rsidR="003D1DF5" w:rsidRPr="004042AB" w:rsidRDefault="003D1DF5" w:rsidP="003D1DF5">
      <w:pPr>
        <w:pStyle w:val="NormalWeb"/>
        <w:spacing w:before="0" w:after="0" w:line="360" w:lineRule="auto"/>
        <w:jc w:val="both"/>
        <w:rPr>
          <w:rFonts w:ascii="Garamond" w:hAnsi="Garamond"/>
          <w:b/>
          <w:sz w:val="21"/>
          <w:szCs w:val="21"/>
        </w:rPr>
      </w:pPr>
      <w:r>
        <w:rPr>
          <w:rFonts w:ascii="Garamond" w:hAnsi="Garamond"/>
          <w:b/>
          <w:sz w:val="21"/>
          <w:szCs w:val="21"/>
        </w:rPr>
        <w:t>Referências bibliográficas</w:t>
      </w:r>
    </w:p>
    <w:p w:rsidR="003D1DF5" w:rsidRPr="004042AB" w:rsidRDefault="003D1DF5" w:rsidP="003D1DF5">
      <w:pPr>
        <w:pStyle w:val="PargrafodaLista"/>
        <w:spacing w:after="0"/>
        <w:ind w:left="3540"/>
        <w:rPr>
          <w:rFonts w:ascii="Garamond" w:hAnsi="Garamond" w:cs="Arial"/>
          <w:sz w:val="21"/>
          <w:szCs w:val="21"/>
          <w:lang w:val="pt-PT"/>
        </w:rPr>
      </w:pPr>
    </w:p>
    <w:p w:rsidR="003D1DF5" w:rsidRPr="00DF125D" w:rsidRDefault="003D1DF5" w:rsidP="003D1DF5">
      <w:pPr>
        <w:jc w:val="both"/>
        <w:rPr>
          <w:rFonts w:ascii="Garamond" w:hAnsi="Garamond"/>
          <w:sz w:val="21"/>
          <w:szCs w:val="21"/>
        </w:rPr>
      </w:pPr>
      <w:r w:rsidRPr="00DF125D">
        <w:rPr>
          <w:rFonts w:cs="Arial"/>
        </w:rPr>
        <w:fldChar w:fldCharType="begin"/>
      </w:r>
      <w:r w:rsidRPr="00DF125D">
        <w:rPr>
          <w:rFonts w:cs="Arial"/>
        </w:rPr>
        <w:instrText xml:space="preserve"> ADDIN EN.REFLIST </w:instrText>
      </w:r>
      <w:r w:rsidRPr="00DF125D">
        <w:rPr>
          <w:rFonts w:cs="Arial"/>
        </w:rPr>
        <w:fldChar w:fldCharType="separate"/>
      </w:r>
      <w:bookmarkStart w:id="4" w:name="_ENREF_1"/>
      <w:r w:rsidRPr="00DF125D">
        <w:rPr>
          <w:rFonts w:ascii="Garamond" w:hAnsi="Garamond"/>
          <w:sz w:val="21"/>
          <w:szCs w:val="21"/>
        </w:rPr>
        <w:t>(1945). Ordonnance n°45-2658 du 2 novembre 1945 RELATIVE A L'ENTREE ET AU SEJOUR DES ETRANGERS EN FRANCE ET PORTANT CREATION DE L'OFFICE NATIONAL D'IMMIGRATION.</w:t>
      </w:r>
      <w:bookmarkEnd w:id="4"/>
    </w:p>
    <w:p w:rsidR="003D1DF5" w:rsidRPr="009B5718" w:rsidRDefault="003D1DF5" w:rsidP="003D1DF5">
      <w:pPr>
        <w:jc w:val="both"/>
        <w:rPr>
          <w:rFonts w:ascii="Garamond" w:hAnsi="Garamond"/>
          <w:sz w:val="21"/>
          <w:szCs w:val="21"/>
          <w:lang w:val="en-US"/>
        </w:rPr>
      </w:pPr>
      <w:bookmarkStart w:id="5" w:name="_ENREF_2"/>
      <w:r w:rsidRPr="009B5718">
        <w:rPr>
          <w:rFonts w:ascii="Garamond" w:hAnsi="Garamond"/>
          <w:sz w:val="21"/>
          <w:szCs w:val="21"/>
          <w:lang w:val="en-US"/>
        </w:rPr>
        <w:t>(1984). COUR DE CASSATION, ASSEMBLÉE PLÉNIÈRE, DU 19 OCTOBRE 1984, 84-93.713, PUBLIÉ AU BULLETIN.</w:t>
      </w:r>
      <w:bookmarkEnd w:id="5"/>
    </w:p>
    <w:p w:rsidR="003D1DF5" w:rsidRPr="009B5718" w:rsidRDefault="003D1DF5" w:rsidP="003D1DF5">
      <w:pPr>
        <w:jc w:val="both"/>
        <w:rPr>
          <w:rFonts w:ascii="Garamond" w:hAnsi="Garamond"/>
          <w:sz w:val="21"/>
          <w:szCs w:val="21"/>
          <w:lang w:val="en-US"/>
        </w:rPr>
      </w:pPr>
      <w:bookmarkStart w:id="6" w:name="_ENREF_3"/>
      <w:r w:rsidRPr="009B5718">
        <w:rPr>
          <w:rFonts w:ascii="Garamond" w:hAnsi="Garamond"/>
          <w:sz w:val="21"/>
          <w:szCs w:val="21"/>
          <w:lang w:val="en-US"/>
        </w:rPr>
        <w:t>(1984). France, Cour de cassation, Chambre criminelle, 19 juin 1984, 84-91908.</w:t>
      </w:r>
      <w:bookmarkEnd w:id="6"/>
    </w:p>
    <w:p w:rsidR="003D1DF5" w:rsidRPr="009B5718" w:rsidRDefault="003D1DF5" w:rsidP="003D1DF5">
      <w:pPr>
        <w:jc w:val="both"/>
        <w:rPr>
          <w:rFonts w:ascii="Garamond" w:hAnsi="Garamond"/>
          <w:sz w:val="21"/>
          <w:szCs w:val="21"/>
          <w:lang w:val="en-US"/>
        </w:rPr>
      </w:pPr>
      <w:bookmarkStart w:id="7" w:name="_ENREF_4"/>
      <w:r w:rsidRPr="009B5718">
        <w:rPr>
          <w:rFonts w:ascii="Garamond" w:hAnsi="Garamond"/>
          <w:sz w:val="21"/>
          <w:szCs w:val="21"/>
          <w:lang w:val="en-US"/>
        </w:rPr>
        <w:t>(1991). COUR DE CASSATION, CHAMBRE CRIMINELLE, DU 19 MARS 1991, 89-82.978, INÉDIT</w:t>
      </w:r>
    </w:p>
    <w:p w:rsidR="003D1DF5" w:rsidRPr="009B5718" w:rsidRDefault="003D1DF5" w:rsidP="003D1DF5">
      <w:pPr>
        <w:jc w:val="both"/>
        <w:rPr>
          <w:rFonts w:ascii="Garamond" w:hAnsi="Garamond"/>
          <w:sz w:val="21"/>
          <w:szCs w:val="21"/>
          <w:lang w:val="en-US"/>
        </w:rPr>
      </w:pPr>
      <w:r w:rsidRPr="009B5718">
        <w:rPr>
          <w:rFonts w:ascii="Garamond" w:hAnsi="Garamond"/>
          <w:sz w:val="21"/>
          <w:szCs w:val="21"/>
          <w:lang w:val="en-US"/>
        </w:rPr>
        <w:t>REJET.</w:t>
      </w:r>
      <w:bookmarkEnd w:id="7"/>
    </w:p>
    <w:p w:rsidR="003D1DF5" w:rsidRPr="00E91505" w:rsidRDefault="003D1DF5" w:rsidP="003D1DF5">
      <w:pPr>
        <w:jc w:val="both"/>
        <w:rPr>
          <w:rFonts w:ascii="Garamond" w:hAnsi="Garamond"/>
          <w:sz w:val="21"/>
          <w:szCs w:val="21"/>
          <w:lang w:val="en-US"/>
        </w:rPr>
      </w:pPr>
      <w:bookmarkStart w:id="8" w:name="_ENREF_5"/>
      <w:r w:rsidRPr="00E91505">
        <w:rPr>
          <w:rFonts w:ascii="Garamond" w:hAnsi="Garamond"/>
          <w:sz w:val="21"/>
          <w:szCs w:val="21"/>
          <w:lang w:val="en-US"/>
        </w:rPr>
        <w:lastRenderedPageBreak/>
        <w:t>(1994). CodePénal: Section 2 : Des entraves à l'exercice de la justice.</w:t>
      </w:r>
      <w:bookmarkEnd w:id="8"/>
    </w:p>
    <w:p w:rsidR="003D1DF5" w:rsidRPr="009B5718" w:rsidRDefault="003D1DF5" w:rsidP="003D1DF5">
      <w:pPr>
        <w:jc w:val="both"/>
        <w:rPr>
          <w:rFonts w:ascii="Garamond" w:hAnsi="Garamond"/>
          <w:sz w:val="21"/>
          <w:szCs w:val="21"/>
          <w:lang w:val="en-US"/>
        </w:rPr>
      </w:pPr>
      <w:bookmarkStart w:id="9" w:name="_ENREF_6"/>
      <w:r w:rsidRPr="009B5718">
        <w:rPr>
          <w:rFonts w:ascii="Garamond" w:hAnsi="Garamond"/>
          <w:sz w:val="21"/>
          <w:szCs w:val="21"/>
          <w:lang w:val="en-US"/>
        </w:rPr>
        <w:t>(2005). Décret n°2005-214 du 3 mars 2005 - Article 2.</w:t>
      </w:r>
      <w:bookmarkEnd w:id="9"/>
    </w:p>
    <w:p w:rsidR="003D1DF5" w:rsidRPr="009B5718" w:rsidRDefault="003D1DF5" w:rsidP="003D1DF5">
      <w:pPr>
        <w:jc w:val="both"/>
        <w:rPr>
          <w:rFonts w:ascii="Garamond" w:hAnsi="Garamond"/>
          <w:sz w:val="21"/>
          <w:szCs w:val="21"/>
          <w:lang w:val="en-US"/>
        </w:rPr>
      </w:pPr>
      <w:bookmarkStart w:id="10" w:name="_ENREF_7"/>
      <w:r w:rsidRPr="009B5718">
        <w:rPr>
          <w:rFonts w:ascii="Garamond" w:hAnsi="Garamond"/>
          <w:sz w:val="21"/>
          <w:szCs w:val="21"/>
          <w:lang w:val="en-US"/>
        </w:rPr>
        <w:t>(2013). LOI n° 2013-711 du 5 août 2013 portant diverses dispositions d'adaptation dans le domaine de la justice en application du droit de l'Union européenne et des engagements internationaux de la France.</w:t>
      </w:r>
      <w:bookmarkEnd w:id="10"/>
    </w:p>
    <w:p w:rsidR="003D1DF5" w:rsidRPr="009B5718" w:rsidRDefault="003D1DF5" w:rsidP="003D1DF5">
      <w:pPr>
        <w:jc w:val="both"/>
        <w:rPr>
          <w:rFonts w:ascii="Garamond" w:hAnsi="Garamond"/>
          <w:sz w:val="21"/>
          <w:szCs w:val="21"/>
          <w:lang w:val="en-US"/>
        </w:rPr>
      </w:pPr>
      <w:bookmarkStart w:id="11" w:name="_ENREF_8"/>
      <w:r w:rsidRPr="009B5718">
        <w:rPr>
          <w:rFonts w:ascii="Garamond" w:hAnsi="Garamond"/>
          <w:sz w:val="21"/>
          <w:szCs w:val="21"/>
          <w:lang w:val="en-US"/>
        </w:rPr>
        <w:t>Bocquet, C. (2008). La traduction juridique, fondement et méthode, De Boeck.</w:t>
      </w:r>
      <w:bookmarkEnd w:id="11"/>
    </w:p>
    <w:p w:rsidR="003D1DF5" w:rsidRPr="009B5718" w:rsidRDefault="003D1DF5" w:rsidP="003D1DF5">
      <w:pPr>
        <w:jc w:val="both"/>
        <w:rPr>
          <w:rFonts w:ascii="Garamond" w:hAnsi="Garamond"/>
          <w:sz w:val="21"/>
          <w:szCs w:val="21"/>
          <w:lang w:val="en-US"/>
        </w:rPr>
      </w:pPr>
      <w:bookmarkStart w:id="12" w:name="_ENREF_9"/>
      <w:r w:rsidRPr="009B5718">
        <w:rPr>
          <w:rFonts w:ascii="Garamond" w:hAnsi="Garamond"/>
          <w:sz w:val="21"/>
          <w:szCs w:val="21"/>
          <w:lang w:val="en-US"/>
        </w:rPr>
        <w:t>European Parliament and Council (2010). Directive on the Right to Interpretation and Translation in Criminal Proceedings. 2010/64/EU. E. Union.</w:t>
      </w:r>
      <w:bookmarkEnd w:id="12"/>
    </w:p>
    <w:p w:rsidR="003D1DF5" w:rsidRPr="009B5718" w:rsidRDefault="003D1DF5" w:rsidP="003D1DF5">
      <w:pPr>
        <w:jc w:val="both"/>
        <w:rPr>
          <w:rFonts w:ascii="Garamond" w:hAnsi="Garamond"/>
          <w:sz w:val="21"/>
          <w:szCs w:val="21"/>
          <w:lang w:val="en-US"/>
        </w:rPr>
      </w:pPr>
      <w:bookmarkStart w:id="13" w:name="_ENREF_10"/>
      <w:r w:rsidRPr="009B5718">
        <w:rPr>
          <w:rFonts w:ascii="Garamond" w:hAnsi="Garamond"/>
          <w:sz w:val="21"/>
          <w:szCs w:val="21"/>
          <w:lang w:val="en-US"/>
        </w:rPr>
        <w:t>Harvey, M. (2002) "Traduire l’intraduisible, stratégies d’équivalence dans la traduction juridique." ILCEA 3, 39-49.</w:t>
      </w:r>
      <w:bookmarkEnd w:id="13"/>
    </w:p>
    <w:p w:rsidR="003D1DF5" w:rsidRPr="009B5718" w:rsidRDefault="003D1DF5" w:rsidP="003D1DF5">
      <w:pPr>
        <w:jc w:val="both"/>
        <w:rPr>
          <w:rFonts w:ascii="Garamond" w:hAnsi="Garamond"/>
          <w:sz w:val="21"/>
          <w:szCs w:val="21"/>
          <w:lang w:val="en-US"/>
        </w:rPr>
      </w:pPr>
      <w:bookmarkStart w:id="14" w:name="_ENREF_11"/>
      <w:r w:rsidRPr="009B5718">
        <w:rPr>
          <w:rFonts w:ascii="Garamond" w:hAnsi="Garamond"/>
          <w:sz w:val="21"/>
          <w:szCs w:val="21"/>
          <w:lang w:val="en-US"/>
        </w:rPr>
        <w:t>Monjean-Decaudin, S. (2010) "Approche juridique de la traduction du droit."</w:t>
      </w:r>
      <w:bookmarkEnd w:id="14"/>
    </w:p>
    <w:p w:rsidR="003D1DF5" w:rsidRPr="00DF125D" w:rsidRDefault="003D1DF5" w:rsidP="003D1DF5">
      <w:pPr>
        <w:jc w:val="both"/>
        <w:rPr>
          <w:rFonts w:ascii="Garamond" w:hAnsi="Garamond"/>
          <w:sz w:val="21"/>
          <w:szCs w:val="21"/>
        </w:rPr>
      </w:pPr>
      <w:bookmarkStart w:id="15" w:name="_ENREF_12"/>
      <w:r w:rsidRPr="00DF125D">
        <w:rPr>
          <w:rFonts w:ascii="Garamond" w:hAnsi="Garamond"/>
          <w:sz w:val="21"/>
          <w:szCs w:val="21"/>
        </w:rPr>
        <w:t>Pommer, S. (2008). Les Journées de Linguistique. ACTES DU XXIe COLLOQUE</w:t>
      </w:r>
    </w:p>
    <w:p w:rsidR="003D1DF5" w:rsidRPr="00DF125D" w:rsidRDefault="003D1DF5" w:rsidP="003D1DF5">
      <w:pPr>
        <w:jc w:val="both"/>
        <w:rPr>
          <w:rFonts w:ascii="Garamond" w:hAnsi="Garamond"/>
          <w:sz w:val="21"/>
          <w:szCs w:val="21"/>
        </w:rPr>
      </w:pPr>
      <w:r w:rsidRPr="00DF125D">
        <w:rPr>
          <w:rFonts w:ascii="Garamond" w:hAnsi="Garamond"/>
          <w:sz w:val="21"/>
          <w:szCs w:val="21"/>
        </w:rPr>
        <w:t>8-9 mars 2007. Université Laval, Québec.</w:t>
      </w:r>
      <w:bookmarkEnd w:id="15"/>
    </w:p>
    <w:p w:rsidR="003D1DF5" w:rsidRPr="00DF125D" w:rsidRDefault="003D1DF5" w:rsidP="003D1DF5">
      <w:pPr>
        <w:pStyle w:val="PargrafodaLista"/>
        <w:spacing w:after="0" w:line="240" w:lineRule="auto"/>
        <w:rPr>
          <w:rFonts w:ascii="Garamond" w:hAnsi="Garamond" w:cs="Arial"/>
          <w:noProof/>
          <w:sz w:val="21"/>
          <w:szCs w:val="21"/>
          <w:lang w:val="pt-PT"/>
        </w:rPr>
      </w:pPr>
    </w:p>
    <w:p w:rsidR="003D1DF5" w:rsidRDefault="003D1DF5" w:rsidP="003D1DF5">
      <w:pPr>
        <w:jc w:val="both"/>
        <w:rPr>
          <w:rFonts w:ascii="Garamond" w:hAnsi="Garamond" w:cs="Arial"/>
          <w:i/>
          <w:sz w:val="21"/>
          <w:szCs w:val="21"/>
        </w:rPr>
      </w:pPr>
      <w:r w:rsidRPr="00DF125D">
        <w:rPr>
          <w:rFonts w:ascii="Garamond" w:hAnsi="Garamond" w:cs="Arial"/>
          <w:i/>
          <w:sz w:val="21"/>
          <w:szCs w:val="21"/>
        </w:rPr>
        <w:fldChar w:fldCharType="end"/>
      </w:r>
    </w:p>
    <w:p w:rsidR="003D1DF5" w:rsidRDefault="003D1DF5" w:rsidP="003D1DF5">
      <w:pPr>
        <w:rPr>
          <w:rFonts w:ascii="Garamond" w:hAnsi="Garamond" w:cs="Arial"/>
          <w:i/>
          <w:sz w:val="21"/>
          <w:szCs w:val="21"/>
        </w:rPr>
        <w:sectPr w:rsidR="003D1DF5" w:rsidSect="000703C3">
          <w:headerReference w:type="default" r:id="rId11"/>
          <w:footnotePr>
            <w:numRestart w:val="eachSect"/>
          </w:footnotePr>
          <w:type w:val="oddPage"/>
          <w:pgSz w:w="9639" w:h="13608" w:code="13"/>
          <w:pgMar w:top="1304" w:right="1021" w:bottom="1304" w:left="1247" w:header="709" w:footer="709" w:gutter="0"/>
          <w:cols w:space="708"/>
          <w:docGrid w:linePitch="360"/>
        </w:sectPr>
      </w:pPr>
    </w:p>
    <w:p w:rsidR="003D1DF5" w:rsidRDefault="003D1DF5" w:rsidP="003D1DF5">
      <w:pPr>
        <w:rPr>
          <w:rFonts w:ascii="Garamond" w:hAnsi="Garamond" w:cs="Arial"/>
          <w:i/>
          <w:sz w:val="21"/>
          <w:szCs w:val="21"/>
        </w:rPr>
        <w:sectPr w:rsidR="003D1DF5" w:rsidSect="00DD5C25">
          <w:headerReference w:type="even" r:id="rId12"/>
          <w:footerReference w:type="even" r:id="rId13"/>
          <w:footnotePr>
            <w:numRestart w:val="eachSect"/>
          </w:footnotePr>
          <w:type w:val="evenPage"/>
          <w:pgSz w:w="9639" w:h="13608" w:code="13"/>
          <w:pgMar w:top="1304" w:right="1021" w:bottom="1304" w:left="1247" w:header="709" w:footer="709" w:gutter="0"/>
          <w:cols w:space="708"/>
          <w:docGrid w:linePitch="360"/>
        </w:sectPr>
      </w:pPr>
    </w:p>
    <w:p w:rsidR="00527FB8" w:rsidRDefault="00527FB8"/>
    <w:sectPr w:rsidR="00527FB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F8A" w:rsidRDefault="001E5F8A" w:rsidP="003D1DF5">
      <w:pPr>
        <w:spacing w:after="0" w:line="240" w:lineRule="auto"/>
      </w:pPr>
      <w:r>
        <w:separator/>
      </w:r>
    </w:p>
  </w:endnote>
  <w:endnote w:type="continuationSeparator" w:id="0">
    <w:p w:rsidR="001E5F8A" w:rsidRDefault="001E5F8A" w:rsidP="003D1D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DF5" w:rsidRPr="00271AC0" w:rsidRDefault="003D1DF5" w:rsidP="00271AC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F8A" w:rsidRDefault="001E5F8A" w:rsidP="003D1DF5">
      <w:pPr>
        <w:spacing w:after="0" w:line="240" w:lineRule="auto"/>
      </w:pPr>
      <w:r>
        <w:separator/>
      </w:r>
    </w:p>
  </w:footnote>
  <w:footnote w:type="continuationSeparator" w:id="0">
    <w:p w:rsidR="001E5F8A" w:rsidRDefault="001E5F8A" w:rsidP="003D1DF5">
      <w:pPr>
        <w:spacing w:after="0" w:line="240" w:lineRule="auto"/>
      </w:pPr>
      <w:r>
        <w:continuationSeparator/>
      </w:r>
    </w:p>
  </w:footnote>
  <w:footnote w:id="1">
    <w:p w:rsidR="003D1DF5" w:rsidRPr="00DF125D" w:rsidRDefault="003D1DF5" w:rsidP="003D1DF5">
      <w:pPr>
        <w:pStyle w:val="Textodenotaderodap"/>
        <w:rPr>
          <w:rFonts w:ascii="Garamond" w:hAnsi="Garamond"/>
          <w:sz w:val="19"/>
          <w:szCs w:val="19"/>
          <w:lang w:val="fr-FR"/>
        </w:rPr>
      </w:pPr>
      <w:r w:rsidRPr="00DF125D">
        <w:rPr>
          <w:rStyle w:val="Refdenotaderodap"/>
          <w:rFonts w:ascii="Garamond" w:hAnsi="Garamond"/>
          <w:sz w:val="19"/>
          <w:szCs w:val="19"/>
        </w:rPr>
        <w:footnoteRef/>
      </w:r>
      <w:r w:rsidRPr="00DF125D">
        <w:rPr>
          <w:rStyle w:val="Forte"/>
          <w:rFonts w:ascii="Garamond" w:hAnsi="Garamond"/>
          <w:color w:val="000000"/>
          <w:sz w:val="19"/>
          <w:szCs w:val="19"/>
          <w:shd w:val="clear" w:color="auto" w:fill="FFFFFF"/>
          <w:lang w:val="fr-FR"/>
        </w:rPr>
        <w:t>Loi n° 2004-130 du 11 février 2004 réformant le statut de certaines professions judiciaires ou juridiques, des experts judiciaires, des conseils en propriété industrielle et des experts en ventes aux enchères publiques</w:t>
      </w:r>
      <w:r w:rsidRPr="00DF125D">
        <w:rPr>
          <w:rStyle w:val="apple-converted-space"/>
          <w:rFonts w:ascii="Garamond" w:hAnsi="Garamond" w:cs="Arial"/>
          <w:b/>
          <w:bCs/>
          <w:color w:val="000000"/>
          <w:sz w:val="19"/>
          <w:szCs w:val="19"/>
          <w:shd w:val="clear" w:color="auto" w:fill="FFFFFF"/>
          <w:lang w:val="fr-FR"/>
        </w:rPr>
        <w:t xml:space="preserve">, </w:t>
      </w:r>
      <w:r w:rsidRPr="00DF125D">
        <w:rPr>
          <w:rStyle w:val="apple-converted-space"/>
          <w:rFonts w:ascii="Garamond" w:hAnsi="Garamond"/>
          <w:bCs/>
          <w:color w:val="000000"/>
          <w:sz w:val="19"/>
          <w:szCs w:val="19"/>
          <w:shd w:val="clear" w:color="auto" w:fill="FFFFFF"/>
          <w:lang w:val="fr-FR"/>
        </w:rPr>
        <w:t>http://legifrance.gouv.fr/affichTexte.do?cidTexte=JORFTEXT000000433988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DF5" w:rsidRPr="000703C3" w:rsidRDefault="003D1DF5" w:rsidP="00602A5D">
    <w:pPr>
      <w:pStyle w:val="Autor"/>
      <w:jc w:val="left"/>
    </w:pPr>
    <w:proofErr w:type="spellStart"/>
    <w:r>
      <w:rPr>
        <w:rFonts w:eastAsiaTheme="minorHAnsi" w:cstheme="minorBidi"/>
        <w:sz w:val="18"/>
        <w:szCs w:val="22"/>
        <w:lang w:eastAsia="en-US"/>
      </w:rPr>
      <w:t>Tulekian</w:t>
    </w:r>
    <w:proofErr w:type="spellEnd"/>
    <w:r>
      <w:rPr>
        <w:rFonts w:eastAsiaTheme="minorHAnsi" w:cstheme="minorBidi"/>
        <w:sz w:val="18"/>
        <w:szCs w:val="22"/>
        <w:lang w:eastAsia="en-US"/>
      </w:rPr>
      <w:t xml:space="preserve">, </w:t>
    </w:r>
    <w:proofErr w:type="spellStart"/>
    <w:r>
      <w:rPr>
        <w:rFonts w:eastAsiaTheme="minorHAnsi" w:cstheme="minorBidi"/>
        <w:sz w:val="18"/>
        <w:szCs w:val="22"/>
        <w:lang w:eastAsia="en-US"/>
      </w:rPr>
      <w:t>Isabelle</w:t>
    </w:r>
    <w:proofErr w:type="spellEnd"/>
    <w:r w:rsidRPr="000703C3">
      <w:rPr>
        <w:sz w:val="18"/>
      </w:rPr>
      <w:t xml:space="preserve"> – </w:t>
    </w:r>
    <w:r>
      <w:t xml:space="preserve">O intérprete-tradutor nos tribunais franceses: Tradução literal ou direito comparado? </w:t>
    </w:r>
    <w:r>
      <w:rPr>
        <w:sz w:val="18"/>
      </w:rPr>
      <w:t>281</w:t>
    </w:r>
    <w:r w:rsidRPr="000703C3">
      <w:rPr>
        <w:sz w:val="18"/>
      </w:rPr>
      <w:t xml:space="preserve"> -</w:t>
    </w:r>
    <w:r>
      <w:rPr>
        <w:sz w:val="18"/>
      </w:rPr>
      <w:t xml:space="preserve"> 289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DF5" w:rsidRPr="00537EB1" w:rsidRDefault="003D1DF5" w:rsidP="00537EB1">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DF5" w:rsidRPr="00537EB1" w:rsidRDefault="003D1DF5" w:rsidP="00537EB1">
    <w:pPr>
      <w:pStyle w:val="Autor"/>
    </w:pPr>
    <w:proofErr w:type="spellStart"/>
    <w:r>
      <w:rPr>
        <w:rFonts w:eastAsiaTheme="minorHAnsi" w:cstheme="minorBidi"/>
        <w:sz w:val="18"/>
        <w:szCs w:val="22"/>
        <w:lang w:eastAsia="en-US"/>
      </w:rPr>
      <w:t>Tulekian</w:t>
    </w:r>
    <w:proofErr w:type="spellEnd"/>
    <w:r>
      <w:rPr>
        <w:rFonts w:eastAsiaTheme="minorHAnsi" w:cstheme="minorBidi"/>
        <w:sz w:val="18"/>
        <w:szCs w:val="22"/>
        <w:lang w:eastAsia="en-US"/>
      </w:rPr>
      <w:t xml:space="preserve">, </w:t>
    </w:r>
    <w:proofErr w:type="spellStart"/>
    <w:r>
      <w:rPr>
        <w:rFonts w:eastAsiaTheme="minorHAnsi" w:cstheme="minorBidi"/>
        <w:sz w:val="18"/>
        <w:szCs w:val="22"/>
        <w:lang w:eastAsia="en-US"/>
      </w:rPr>
      <w:t>Isabelle</w:t>
    </w:r>
    <w:proofErr w:type="spellEnd"/>
    <w:r w:rsidRPr="000703C3">
      <w:rPr>
        <w:sz w:val="18"/>
      </w:rPr>
      <w:t xml:space="preserve"> – </w:t>
    </w:r>
    <w:r>
      <w:t xml:space="preserve">O intérprete-tradutor nos tribunais franceses: Tradução literal ou direito comparado? </w:t>
    </w:r>
    <w:r>
      <w:rPr>
        <w:sz w:val="18"/>
      </w:rPr>
      <w:t>281</w:t>
    </w:r>
    <w:r w:rsidRPr="000703C3">
      <w:rPr>
        <w:sz w:val="18"/>
      </w:rPr>
      <w:t xml:space="preserve"> -</w:t>
    </w:r>
    <w:r>
      <w:rPr>
        <w:sz w:val="18"/>
      </w:rPr>
      <w:t xml:space="preserve"> 289</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DF5" w:rsidRPr="00271AC0" w:rsidRDefault="003D1DF5" w:rsidP="00271AC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DE75A4"/>
    <w:multiLevelType w:val="hybridMultilevel"/>
    <w:tmpl w:val="C1EC0318"/>
    <w:lvl w:ilvl="0" w:tplc="0816000F">
      <w:start w:val="1"/>
      <w:numFmt w:val="decimal"/>
      <w:lvlText w:val="%1."/>
      <w:lvlJc w:val="left"/>
      <w:pPr>
        <w:ind w:left="1004" w:hanging="360"/>
      </w:pPr>
    </w:lvl>
    <w:lvl w:ilvl="1" w:tplc="08160019" w:tentative="1">
      <w:start w:val="1"/>
      <w:numFmt w:val="lowerLetter"/>
      <w:lvlText w:val="%2."/>
      <w:lvlJc w:val="left"/>
      <w:pPr>
        <w:ind w:left="1724" w:hanging="360"/>
      </w:pPr>
    </w:lvl>
    <w:lvl w:ilvl="2" w:tplc="0816001B" w:tentative="1">
      <w:start w:val="1"/>
      <w:numFmt w:val="lowerRoman"/>
      <w:lvlText w:val="%3."/>
      <w:lvlJc w:val="right"/>
      <w:pPr>
        <w:ind w:left="2444" w:hanging="180"/>
      </w:pPr>
    </w:lvl>
    <w:lvl w:ilvl="3" w:tplc="0816000F" w:tentative="1">
      <w:start w:val="1"/>
      <w:numFmt w:val="decimal"/>
      <w:lvlText w:val="%4."/>
      <w:lvlJc w:val="left"/>
      <w:pPr>
        <w:ind w:left="3164" w:hanging="360"/>
      </w:pPr>
    </w:lvl>
    <w:lvl w:ilvl="4" w:tplc="08160019" w:tentative="1">
      <w:start w:val="1"/>
      <w:numFmt w:val="lowerLetter"/>
      <w:lvlText w:val="%5."/>
      <w:lvlJc w:val="left"/>
      <w:pPr>
        <w:ind w:left="3884" w:hanging="360"/>
      </w:pPr>
    </w:lvl>
    <w:lvl w:ilvl="5" w:tplc="0816001B" w:tentative="1">
      <w:start w:val="1"/>
      <w:numFmt w:val="lowerRoman"/>
      <w:lvlText w:val="%6."/>
      <w:lvlJc w:val="right"/>
      <w:pPr>
        <w:ind w:left="4604" w:hanging="180"/>
      </w:pPr>
    </w:lvl>
    <w:lvl w:ilvl="6" w:tplc="0816000F" w:tentative="1">
      <w:start w:val="1"/>
      <w:numFmt w:val="decimal"/>
      <w:lvlText w:val="%7."/>
      <w:lvlJc w:val="left"/>
      <w:pPr>
        <w:ind w:left="5324" w:hanging="360"/>
      </w:pPr>
    </w:lvl>
    <w:lvl w:ilvl="7" w:tplc="08160019" w:tentative="1">
      <w:start w:val="1"/>
      <w:numFmt w:val="lowerLetter"/>
      <w:lvlText w:val="%8."/>
      <w:lvlJc w:val="left"/>
      <w:pPr>
        <w:ind w:left="6044" w:hanging="360"/>
      </w:pPr>
    </w:lvl>
    <w:lvl w:ilvl="8" w:tplc="0816001B" w:tentative="1">
      <w:start w:val="1"/>
      <w:numFmt w:val="lowerRoman"/>
      <w:lvlText w:val="%9."/>
      <w:lvlJc w:val="right"/>
      <w:pPr>
        <w:ind w:left="6764" w:hanging="180"/>
      </w:pPr>
    </w:lvl>
  </w:abstractNum>
  <w:abstractNum w:abstractNumId="1">
    <w:nsid w:val="4A4326DE"/>
    <w:multiLevelType w:val="hybridMultilevel"/>
    <w:tmpl w:val="061A6F40"/>
    <w:lvl w:ilvl="0" w:tplc="0816000B">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
    <w:nsid w:val="56A54863"/>
    <w:multiLevelType w:val="hybridMultilevel"/>
    <w:tmpl w:val="6A78072E"/>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numRestart w:val="eachSec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DF5"/>
    <w:rsid w:val="001E5F8A"/>
    <w:rsid w:val="003D1DF5"/>
    <w:rsid w:val="00527FB8"/>
    <w:rsid w:val="00DC33B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3D1DF5"/>
    <w:pPr>
      <w:spacing w:after="0" w:line="353" w:lineRule="auto"/>
      <w:jc w:val="center"/>
      <w:outlineLvl w:val="0"/>
    </w:pPr>
    <w:rPr>
      <w:rFonts w:ascii="Garamond" w:eastAsia="Times New Roman" w:hAnsi="Garamond" w:cs="Times New Roman"/>
      <w:b/>
      <w:caps/>
      <w:sz w:val="23"/>
      <w:szCs w:val="24"/>
    </w:rPr>
  </w:style>
  <w:style w:type="paragraph" w:styleId="Cabealho2">
    <w:name w:val="heading 2"/>
    <w:basedOn w:val="Autor"/>
    <w:next w:val="Normal"/>
    <w:link w:val="Cabealho2Carcter"/>
    <w:uiPriority w:val="9"/>
    <w:unhideWhenUsed/>
    <w:qFormat/>
    <w:rsid w:val="003D1DF5"/>
    <w:pPr>
      <w:outlineLvl w:val="1"/>
    </w:pPr>
  </w:style>
  <w:style w:type="paragraph" w:styleId="Cabealho3">
    <w:name w:val="heading 3"/>
    <w:basedOn w:val="Normal"/>
    <w:next w:val="Normal"/>
    <w:link w:val="Cabealho3Carcter"/>
    <w:uiPriority w:val="9"/>
    <w:unhideWhenUsed/>
    <w:qFormat/>
    <w:rsid w:val="003D1DF5"/>
    <w:pPr>
      <w:spacing w:after="0" w:line="353" w:lineRule="auto"/>
      <w:jc w:val="right"/>
      <w:outlineLvl w:val="2"/>
    </w:pPr>
    <w:rPr>
      <w:rFonts w:ascii="Garamond" w:eastAsia="Times New Roman" w:hAnsi="Garamond" w:cs="Times New Roman"/>
      <w:sz w:val="19"/>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3D1DF5"/>
    <w:rPr>
      <w:rFonts w:ascii="Garamond" w:eastAsia="Times New Roman" w:hAnsi="Garamond" w:cs="Times New Roman"/>
      <w:b/>
      <w:caps/>
      <w:sz w:val="23"/>
      <w:szCs w:val="24"/>
    </w:rPr>
  </w:style>
  <w:style w:type="character" w:customStyle="1" w:styleId="Cabealho2Carcter">
    <w:name w:val="Cabeçalho 2 Carácter"/>
    <w:basedOn w:val="Tipodeletrapredefinidodopargrafo"/>
    <w:link w:val="Cabealho2"/>
    <w:uiPriority w:val="9"/>
    <w:rsid w:val="003D1DF5"/>
    <w:rPr>
      <w:rFonts w:ascii="Garamond" w:eastAsia="Times New Roman" w:hAnsi="Garamond" w:cs="Times New Roman"/>
      <w:sz w:val="19"/>
      <w:szCs w:val="24"/>
    </w:rPr>
  </w:style>
  <w:style w:type="character" w:customStyle="1" w:styleId="Cabealho3Carcter">
    <w:name w:val="Cabeçalho 3 Carácter"/>
    <w:basedOn w:val="Tipodeletrapredefinidodopargrafo"/>
    <w:link w:val="Cabealho3"/>
    <w:uiPriority w:val="9"/>
    <w:rsid w:val="003D1DF5"/>
    <w:rPr>
      <w:rFonts w:ascii="Garamond" w:eastAsia="Times New Roman" w:hAnsi="Garamond" w:cs="Times New Roman"/>
      <w:sz w:val="19"/>
      <w:szCs w:val="24"/>
    </w:rPr>
  </w:style>
  <w:style w:type="paragraph" w:styleId="Cabealho">
    <w:name w:val="header"/>
    <w:basedOn w:val="Normal"/>
    <w:link w:val="CabealhoCarcter"/>
    <w:uiPriority w:val="99"/>
    <w:unhideWhenUsed/>
    <w:rsid w:val="003D1DF5"/>
    <w:pPr>
      <w:tabs>
        <w:tab w:val="center" w:pos="4252"/>
        <w:tab w:val="right" w:pos="8504"/>
      </w:tabs>
      <w:spacing w:after="0" w:line="240" w:lineRule="auto"/>
      <w:ind w:firstLine="833"/>
      <w:jc w:val="both"/>
    </w:pPr>
    <w:rPr>
      <w:rFonts w:eastAsiaTheme="minorHAnsi"/>
      <w:lang w:eastAsia="en-US"/>
    </w:rPr>
  </w:style>
  <w:style w:type="character" w:customStyle="1" w:styleId="CabealhoCarcter">
    <w:name w:val="Cabeçalho Carácter"/>
    <w:basedOn w:val="Tipodeletrapredefinidodopargrafo"/>
    <w:link w:val="Cabealho"/>
    <w:uiPriority w:val="99"/>
    <w:rsid w:val="003D1DF5"/>
    <w:rPr>
      <w:rFonts w:eastAsiaTheme="minorHAnsi"/>
      <w:lang w:eastAsia="en-US"/>
    </w:rPr>
  </w:style>
  <w:style w:type="paragraph" w:styleId="Rodap">
    <w:name w:val="footer"/>
    <w:basedOn w:val="Normal"/>
    <w:link w:val="RodapCarcter"/>
    <w:uiPriority w:val="99"/>
    <w:unhideWhenUsed/>
    <w:rsid w:val="003D1DF5"/>
    <w:pPr>
      <w:tabs>
        <w:tab w:val="center" w:pos="4252"/>
        <w:tab w:val="right" w:pos="8504"/>
      </w:tabs>
      <w:spacing w:after="0" w:line="240" w:lineRule="auto"/>
      <w:ind w:firstLine="833"/>
      <w:jc w:val="both"/>
    </w:pPr>
    <w:rPr>
      <w:rFonts w:eastAsiaTheme="minorHAnsi"/>
      <w:lang w:eastAsia="en-US"/>
    </w:rPr>
  </w:style>
  <w:style w:type="character" w:customStyle="1" w:styleId="RodapCarcter">
    <w:name w:val="Rodapé Carácter"/>
    <w:basedOn w:val="Tipodeletrapredefinidodopargrafo"/>
    <w:link w:val="Rodap"/>
    <w:uiPriority w:val="99"/>
    <w:rsid w:val="003D1DF5"/>
    <w:rPr>
      <w:rFonts w:eastAsiaTheme="minorHAnsi"/>
      <w:lang w:eastAsia="en-US"/>
    </w:rPr>
  </w:style>
  <w:style w:type="character" w:styleId="Forte">
    <w:name w:val="Strong"/>
    <w:basedOn w:val="Tipodeletrapredefinidodopargrafo"/>
    <w:uiPriority w:val="22"/>
    <w:qFormat/>
    <w:rsid w:val="003D1DF5"/>
    <w:rPr>
      <w:b/>
      <w:bCs/>
    </w:rPr>
  </w:style>
  <w:style w:type="character" w:styleId="Hiperligao">
    <w:name w:val="Hyperlink"/>
    <w:basedOn w:val="Tipodeletrapredefinidodopargrafo"/>
    <w:uiPriority w:val="99"/>
    <w:unhideWhenUsed/>
    <w:rsid w:val="003D1DF5"/>
    <w:rPr>
      <w:color w:val="0000FF"/>
      <w:u w:val="single"/>
    </w:rPr>
  </w:style>
  <w:style w:type="paragraph" w:styleId="NormalWeb">
    <w:name w:val="Normal (Web)"/>
    <w:basedOn w:val="Normal"/>
    <w:uiPriority w:val="99"/>
    <w:rsid w:val="003D1DF5"/>
    <w:pPr>
      <w:spacing w:before="96" w:after="120" w:line="360" w:lineRule="atLeast"/>
    </w:pPr>
    <w:rPr>
      <w:rFonts w:ascii="Times New Roman" w:eastAsia="Times New Roman" w:hAnsi="Times New Roman" w:cs="Times New Roman"/>
      <w:sz w:val="24"/>
      <w:szCs w:val="24"/>
    </w:rPr>
  </w:style>
  <w:style w:type="paragraph" w:styleId="Textodenotaderodap">
    <w:name w:val="footnote text"/>
    <w:aliases w:val="Footnote"/>
    <w:basedOn w:val="Normal"/>
    <w:link w:val="TextodenotaderodapCarcter"/>
    <w:uiPriority w:val="99"/>
    <w:rsid w:val="003D1DF5"/>
    <w:pPr>
      <w:spacing w:after="0" w:line="240" w:lineRule="auto"/>
    </w:pPr>
    <w:rPr>
      <w:rFonts w:ascii="Times New Roman" w:eastAsia="Times New Roman" w:hAnsi="Times New Roman" w:cs="Times New Roman"/>
      <w:sz w:val="20"/>
      <w:szCs w:val="20"/>
      <w:lang w:val="en-GB"/>
    </w:rPr>
  </w:style>
  <w:style w:type="character" w:customStyle="1" w:styleId="TextodenotaderodapCarcter">
    <w:name w:val="Texto de nota de rodapé Carácter"/>
    <w:aliases w:val="Footnote Carácter"/>
    <w:basedOn w:val="Tipodeletrapredefinidodopargrafo"/>
    <w:link w:val="Textodenotaderodap"/>
    <w:uiPriority w:val="99"/>
    <w:rsid w:val="003D1DF5"/>
    <w:rPr>
      <w:rFonts w:ascii="Times New Roman" w:eastAsia="Times New Roman" w:hAnsi="Times New Roman" w:cs="Times New Roman"/>
      <w:sz w:val="20"/>
      <w:szCs w:val="20"/>
      <w:lang w:val="en-GB"/>
    </w:rPr>
  </w:style>
  <w:style w:type="character" w:styleId="Refdenotaderodap">
    <w:name w:val="footnote reference"/>
    <w:basedOn w:val="Tipodeletrapredefinidodopargrafo"/>
    <w:uiPriority w:val="99"/>
    <w:rsid w:val="003D1DF5"/>
    <w:rPr>
      <w:vertAlign w:val="superscript"/>
    </w:rPr>
  </w:style>
  <w:style w:type="paragraph" w:styleId="PargrafodaLista">
    <w:name w:val="List Paragraph"/>
    <w:basedOn w:val="Normal"/>
    <w:link w:val="PargrafodaListaCarcter"/>
    <w:uiPriority w:val="34"/>
    <w:qFormat/>
    <w:rsid w:val="003D1DF5"/>
    <w:pPr>
      <w:spacing w:line="360" w:lineRule="auto"/>
      <w:ind w:left="720" w:firstLine="567"/>
      <w:contextualSpacing/>
      <w:jc w:val="both"/>
    </w:pPr>
    <w:rPr>
      <w:rFonts w:ascii="Cambria" w:eastAsia="Times New Roman" w:hAnsi="Cambria" w:cs="Times New Roman"/>
      <w:lang w:val="en-US" w:eastAsia="en-US" w:bidi="en-US"/>
    </w:rPr>
  </w:style>
  <w:style w:type="character" w:customStyle="1" w:styleId="PargrafodaListaCarcter">
    <w:name w:val="Parágrafo da Lista Carácter"/>
    <w:basedOn w:val="Tipodeletrapredefinidodopargrafo"/>
    <w:link w:val="PargrafodaLista"/>
    <w:uiPriority w:val="34"/>
    <w:rsid w:val="003D1DF5"/>
    <w:rPr>
      <w:rFonts w:ascii="Cambria" w:eastAsia="Times New Roman" w:hAnsi="Cambria" w:cs="Times New Roman"/>
      <w:lang w:val="en-US" w:eastAsia="en-US" w:bidi="en-US"/>
    </w:rPr>
  </w:style>
  <w:style w:type="paragraph" w:customStyle="1" w:styleId="Autor">
    <w:name w:val="Autor"/>
    <w:basedOn w:val="Normal"/>
    <w:rsid w:val="003D1DF5"/>
    <w:pPr>
      <w:spacing w:after="0" w:line="353" w:lineRule="auto"/>
      <w:jc w:val="right"/>
    </w:pPr>
    <w:rPr>
      <w:rFonts w:ascii="Garamond" w:eastAsia="Times New Roman" w:hAnsi="Garamond" w:cs="Times New Roman"/>
      <w:sz w:val="19"/>
      <w:szCs w:val="24"/>
    </w:rPr>
  </w:style>
  <w:style w:type="character" w:customStyle="1" w:styleId="apple-converted-space">
    <w:name w:val="apple-converted-space"/>
    <w:basedOn w:val="Tipodeletrapredefinidodopargrafo"/>
    <w:rsid w:val="003D1DF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3D1DF5"/>
    <w:pPr>
      <w:spacing w:after="0" w:line="353" w:lineRule="auto"/>
      <w:jc w:val="center"/>
      <w:outlineLvl w:val="0"/>
    </w:pPr>
    <w:rPr>
      <w:rFonts w:ascii="Garamond" w:eastAsia="Times New Roman" w:hAnsi="Garamond" w:cs="Times New Roman"/>
      <w:b/>
      <w:caps/>
      <w:sz w:val="23"/>
      <w:szCs w:val="24"/>
    </w:rPr>
  </w:style>
  <w:style w:type="paragraph" w:styleId="Cabealho2">
    <w:name w:val="heading 2"/>
    <w:basedOn w:val="Autor"/>
    <w:next w:val="Normal"/>
    <w:link w:val="Cabealho2Carcter"/>
    <w:uiPriority w:val="9"/>
    <w:unhideWhenUsed/>
    <w:qFormat/>
    <w:rsid w:val="003D1DF5"/>
    <w:pPr>
      <w:outlineLvl w:val="1"/>
    </w:pPr>
  </w:style>
  <w:style w:type="paragraph" w:styleId="Cabealho3">
    <w:name w:val="heading 3"/>
    <w:basedOn w:val="Normal"/>
    <w:next w:val="Normal"/>
    <w:link w:val="Cabealho3Carcter"/>
    <w:uiPriority w:val="9"/>
    <w:unhideWhenUsed/>
    <w:qFormat/>
    <w:rsid w:val="003D1DF5"/>
    <w:pPr>
      <w:spacing w:after="0" w:line="353" w:lineRule="auto"/>
      <w:jc w:val="right"/>
      <w:outlineLvl w:val="2"/>
    </w:pPr>
    <w:rPr>
      <w:rFonts w:ascii="Garamond" w:eastAsia="Times New Roman" w:hAnsi="Garamond" w:cs="Times New Roman"/>
      <w:sz w:val="19"/>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3D1DF5"/>
    <w:rPr>
      <w:rFonts w:ascii="Garamond" w:eastAsia="Times New Roman" w:hAnsi="Garamond" w:cs="Times New Roman"/>
      <w:b/>
      <w:caps/>
      <w:sz w:val="23"/>
      <w:szCs w:val="24"/>
    </w:rPr>
  </w:style>
  <w:style w:type="character" w:customStyle="1" w:styleId="Cabealho2Carcter">
    <w:name w:val="Cabeçalho 2 Carácter"/>
    <w:basedOn w:val="Tipodeletrapredefinidodopargrafo"/>
    <w:link w:val="Cabealho2"/>
    <w:uiPriority w:val="9"/>
    <w:rsid w:val="003D1DF5"/>
    <w:rPr>
      <w:rFonts w:ascii="Garamond" w:eastAsia="Times New Roman" w:hAnsi="Garamond" w:cs="Times New Roman"/>
      <w:sz w:val="19"/>
      <w:szCs w:val="24"/>
    </w:rPr>
  </w:style>
  <w:style w:type="character" w:customStyle="1" w:styleId="Cabealho3Carcter">
    <w:name w:val="Cabeçalho 3 Carácter"/>
    <w:basedOn w:val="Tipodeletrapredefinidodopargrafo"/>
    <w:link w:val="Cabealho3"/>
    <w:uiPriority w:val="9"/>
    <w:rsid w:val="003D1DF5"/>
    <w:rPr>
      <w:rFonts w:ascii="Garamond" w:eastAsia="Times New Roman" w:hAnsi="Garamond" w:cs="Times New Roman"/>
      <w:sz w:val="19"/>
      <w:szCs w:val="24"/>
    </w:rPr>
  </w:style>
  <w:style w:type="paragraph" w:styleId="Cabealho">
    <w:name w:val="header"/>
    <w:basedOn w:val="Normal"/>
    <w:link w:val="CabealhoCarcter"/>
    <w:uiPriority w:val="99"/>
    <w:unhideWhenUsed/>
    <w:rsid w:val="003D1DF5"/>
    <w:pPr>
      <w:tabs>
        <w:tab w:val="center" w:pos="4252"/>
        <w:tab w:val="right" w:pos="8504"/>
      </w:tabs>
      <w:spacing w:after="0" w:line="240" w:lineRule="auto"/>
      <w:ind w:firstLine="833"/>
      <w:jc w:val="both"/>
    </w:pPr>
    <w:rPr>
      <w:rFonts w:eastAsiaTheme="minorHAnsi"/>
      <w:lang w:eastAsia="en-US"/>
    </w:rPr>
  </w:style>
  <w:style w:type="character" w:customStyle="1" w:styleId="CabealhoCarcter">
    <w:name w:val="Cabeçalho Carácter"/>
    <w:basedOn w:val="Tipodeletrapredefinidodopargrafo"/>
    <w:link w:val="Cabealho"/>
    <w:uiPriority w:val="99"/>
    <w:rsid w:val="003D1DF5"/>
    <w:rPr>
      <w:rFonts w:eastAsiaTheme="minorHAnsi"/>
      <w:lang w:eastAsia="en-US"/>
    </w:rPr>
  </w:style>
  <w:style w:type="paragraph" w:styleId="Rodap">
    <w:name w:val="footer"/>
    <w:basedOn w:val="Normal"/>
    <w:link w:val="RodapCarcter"/>
    <w:uiPriority w:val="99"/>
    <w:unhideWhenUsed/>
    <w:rsid w:val="003D1DF5"/>
    <w:pPr>
      <w:tabs>
        <w:tab w:val="center" w:pos="4252"/>
        <w:tab w:val="right" w:pos="8504"/>
      </w:tabs>
      <w:spacing w:after="0" w:line="240" w:lineRule="auto"/>
      <w:ind w:firstLine="833"/>
      <w:jc w:val="both"/>
    </w:pPr>
    <w:rPr>
      <w:rFonts w:eastAsiaTheme="minorHAnsi"/>
      <w:lang w:eastAsia="en-US"/>
    </w:rPr>
  </w:style>
  <w:style w:type="character" w:customStyle="1" w:styleId="RodapCarcter">
    <w:name w:val="Rodapé Carácter"/>
    <w:basedOn w:val="Tipodeletrapredefinidodopargrafo"/>
    <w:link w:val="Rodap"/>
    <w:uiPriority w:val="99"/>
    <w:rsid w:val="003D1DF5"/>
    <w:rPr>
      <w:rFonts w:eastAsiaTheme="minorHAnsi"/>
      <w:lang w:eastAsia="en-US"/>
    </w:rPr>
  </w:style>
  <w:style w:type="character" w:styleId="Forte">
    <w:name w:val="Strong"/>
    <w:basedOn w:val="Tipodeletrapredefinidodopargrafo"/>
    <w:uiPriority w:val="22"/>
    <w:qFormat/>
    <w:rsid w:val="003D1DF5"/>
    <w:rPr>
      <w:b/>
      <w:bCs/>
    </w:rPr>
  </w:style>
  <w:style w:type="character" w:styleId="Hiperligao">
    <w:name w:val="Hyperlink"/>
    <w:basedOn w:val="Tipodeletrapredefinidodopargrafo"/>
    <w:uiPriority w:val="99"/>
    <w:unhideWhenUsed/>
    <w:rsid w:val="003D1DF5"/>
    <w:rPr>
      <w:color w:val="0000FF"/>
      <w:u w:val="single"/>
    </w:rPr>
  </w:style>
  <w:style w:type="paragraph" w:styleId="NormalWeb">
    <w:name w:val="Normal (Web)"/>
    <w:basedOn w:val="Normal"/>
    <w:uiPriority w:val="99"/>
    <w:rsid w:val="003D1DF5"/>
    <w:pPr>
      <w:spacing w:before="96" w:after="120" w:line="360" w:lineRule="atLeast"/>
    </w:pPr>
    <w:rPr>
      <w:rFonts w:ascii="Times New Roman" w:eastAsia="Times New Roman" w:hAnsi="Times New Roman" w:cs="Times New Roman"/>
      <w:sz w:val="24"/>
      <w:szCs w:val="24"/>
    </w:rPr>
  </w:style>
  <w:style w:type="paragraph" w:styleId="Textodenotaderodap">
    <w:name w:val="footnote text"/>
    <w:aliases w:val="Footnote"/>
    <w:basedOn w:val="Normal"/>
    <w:link w:val="TextodenotaderodapCarcter"/>
    <w:uiPriority w:val="99"/>
    <w:rsid w:val="003D1DF5"/>
    <w:pPr>
      <w:spacing w:after="0" w:line="240" w:lineRule="auto"/>
    </w:pPr>
    <w:rPr>
      <w:rFonts w:ascii="Times New Roman" w:eastAsia="Times New Roman" w:hAnsi="Times New Roman" w:cs="Times New Roman"/>
      <w:sz w:val="20"/>
      <w:szCs w:val="20"/>
      <w:lang w:val="en-GB"/>
    </w:rPr>
  </w:style>
  <w:style w:type="character" w:customStyle="1" w:styleId="TextodenotaderodapCarcter">
    <w:name w:val="Texto de nota de rodapé Carácter"/>
    <w:aliases w:val="Footnote Carácter"/>
    <w:basedOn w:val="Tipodeletrapredefinidodopargrafo"/>
    <w:link w:val="Textodenotaderodap"/>
    <w:uiPriority w:val="99"/>
    <w:rsid w:val="003D1DF5"/>
    <w:rPr>
      <w:rFonts w:ascii="Times New Roman" w:eastAsia="Times New Roman" w:hAnsi="Times New Roman" w:cs="Times New Roman"/>
      <w:sz w:val="20"/>
      <w:szCs w:val="20"/>
      <w:lang w:val="en-GB"/>
    </w:rPr>
  </w:style>
  <w:style w:type="character" w:styleId="Refdenotaderodap">
    <w:name w:val="footnote reference"/>
    <w:basedOn w:val="Tipodeletrapredefinidodopargrafo"/>
    <w:uiPriority w:val="99"/>
    <w:rsid w:val="003D1DF5"/>
    <w:rPr>
      <w:vertAlign w:val="superscript"/>
    </w:rPr>
  </w:style>
  <w:style w:type="paragraph" w:styleId="PargrafodaLista">
    <w:name w:val="List Paragraph"/>
    <w:basedOn w:val="Normal"/>
    <w:link w:val="PargrafodaListaCarcter"/>
    <w:uiPriority w:val="34"/>
    <w:qFormat/>
    <w:rsid w:val="003D1DF5"/>
    <w:pPr>
      <w:spacing w:line="360" w:lineRule="auto"/>
      <w:ind w:left="720" w:firstLine="567"/>
      <w:contextualSpacing/>
      <w:jc w:val="both"/>
    </w:pPr>
    <w:rPr>
      <w:rFonts w:ascii="Cambria" w:eastAsia="Times New Roman" w:hAnsi="Cambria" w:cs="Times New Roman"/>
      <w:lang w:val="en-US" w:eastAsia="en-US" w:bidi="en-US"/>
    </w:rPr>
  </w:style>
  <w:style w:type="character" w:customStyle="1" w:styleId="PargrafodaListaCarcter">
    <w:name w:val="Parágrafo da Lista Carácter"/>
    <w:basedOn w:val="Tipodeletrapredefinidodopargrafo"/>
    <w:link w:val="PargrafodaLista"/>
    <w:uiPriority w:val="34"/>
    <w:rsid w:val="003D1DF5"/>
    <w:rPr>
      <w:rFonts w:ascii="Cambria" w:eastAsia="Times New Roman" w:hAnsi="Cambria" w:cs="Times New Roman"/>
      <w:lang w:val="en-US" w:eastAsia="en-US" w:bidi="en-US"/>
    </w:rPr>
  </w:style>
  <w:style w:type="paragraph" w:customStyle="1" w:styleId="Autor">
    <w:name w:val="Autor"/>
    <w:basedOn w:val="Normal"/>
    <w:rsid w:val="003D1DF5"/>
    <w:pPr>
      <w:spacing w:after="0" w:line="353" w:lineRule="auto"/>
      <w:jc w:val="right"/>
    </w:pPr>
    <w:rPr>
      <w:rFonts w:ascii="Garamond" w:eastAsia="Times New Roman" w:hAnsi="Garamond" w:cs="Times New Roman"/>
      <w:sz w:val="19"/>
      <w:szCs w:val="24"/>
    </w:rPr>
  </w:style>
  <w:style w:type="character" w:customStyle="1" w:styleId="apple-converted-space">
    <w:name w:val="apple-converted-space"/>
    <w:basedOn w:val="Tipodeletrapredefinidodopargrafo"/>
    <w:rsid w:val="003D1DF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tulekian@iscap.ipp.pt"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4163</Words>
  <Characters>22486</Characters>
  <Application>Microsoft Office Word</Application>
  <DocSecurity>0</DocSecurity>
  <Lines>187</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polissema</dc:creator>
  <cp:lastModifiedBy>Isabelle Tulekian</cp:lastModifiedBy>
  <cp:revision>2</cp:revision>
  <dcterms:created xsi:type="dcterms:W3CDTF">2014-11-28T15:02:00Z</dcterms:created>
  <dcterms:modified xsi:type="dcterms:W3CDTF">2014-11-28T15:02:00Z</dcterms:modified>
</cp:coreProperties>
</file>